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6B_1342/2018 vom 17. Januar 2019</w:t>
      </w:r>
    </w:p>
    <w:p>
      <w:r>
        <w:t>Bundesgericht, 2019-01-17, FR</w:t>
      </w:r>
    </w:p>
    <w:p>
      <w:r>
        <w:rPr>
          <w:b/>
        </w:rPr>
        <w:t xml:space="preserve">Quelle: </w:t>
      </w:r>
      <w:r>
        <w:t>https://mcp.opencaselaw.ch/entscheid/bger_6B_1342_2018</w:t>
      </w:r>
    </w:p>
    <w:p>
      <w:r>
        <w:t>FR: TF 6B_1342/2018 du 17 janvier 2019</w:t>
      </w:r>
    </w:p>
    <w:p>
      <w:r>
        <w:t>IT: TF 6B_1342/2018 del 17 gennaio 2019</w:t>
      </w:r>
    </w:p>
    <w:p>
      <w:pPr>
        <w:pStyle w:val="Heading2"/>
      </w:pPr>
      <w:r>
        <w:t>Erwägungen</w:t>
      </w:r>
    </w:p>
    <w:p>
      <w:r>
        <w:rPr>
          <w:b/>
        </w:rPr>
        <w:t>E. 1</w:t>
      </w:r>
    </w:p>
    <w:p>
      <w:r>
        <w:t>Par arrêt du 26 novembre 2018, la Chambre pénale du Tribunal cantonal du canton de Vaud a déclaré irrecevable le recours de X.________ contre l'ordonnance de non-entrée en matière prononcée le 10 octobre 2018 sur sa plainte pénale. X.________ recourt en matière pénale au Tribunal fédéral.</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la décision entreprise déclare tout d'abord le recours irrecevable faute d'une motivation suffisante, le recourant ne faisant que réitérer ses doléances sans essayer de démontrer que les éléments constitutifs des diverses infractions dénoncées seraient réunis ou même déjà sembleraient l'être. La cour cantonale a ensuite jugé, au demeurant, que les biens du recourant ayant été séquestrés, voire confisqués et vendus aux enchères conformément à un arrêt de la Cour d'appel pénal du 2 octobre 2015, les infractions d'abus de confiance et de vol n'étaient manifestement pas réalisées. En outre, rien au dossier n'indiquait une quelconque tromperie, ce qui excluait la probabilité d'une condamnation pour escroquerie.</w:t>
      </w:r>
    </w:p>
    <w:p>
      <w:r>
        <w:t>Le recourant se plaint essentiellement de ce que ses biens ont été vendus à des prix largement inférieurs à leur valeur. Ce faisant, il ne discute d'aucune manière l'insuffisance de la motivation de son recours cantonal, qui a conduit la cour cantonale à prononcer l'irrecevabilité de ce recours. Il s'ensuit que les explications du recourant laissent subsister un pan de la motivation de la décision cantonale suffisant à sceller l'issue de la procédure, ce qui conduit à l'irrecevabilité du recours en matière pénale ( ATF 133 IV 119 consid. 6.3 p. 120).</w:t>
      </w:r>
    </w:p>
    <w:p>
      <w:r>
        <w:rPr>
          <w:b/>
        </w:rPr>
        <w:t>E. 3</w:t>
      </w:r>
    </w:p>
    <w:p>
      <w:r>
        <w:t>Au vu de ce qui précède, le recours, dont la motivation est manifestement insuffisante, doit être écarté dans la procédure prévue par l' art. 108 let. b LTF , ce qui conduit au refus de l'assistance judiciaire au niveau fédéral ( art. 64 al. 1 et 3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