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133/2017 vom 12. Januar 2018</w:t>
      </w:r>
    </w:p>
    <w:p>
      <w:r>
        <w:t>Bundesgericht, 2018-01-12, FR</w:t>
      </w:r>
    </w:p>
    <w:p>
      <w:r>
        <w:rPr>
          <w:b/>
        </w:rPr>
        <w:t xml:space="preserve">Quelle: </w:t>
      </w:r>
      <w:r>
        <w:t>https://mcp.opencaselaw.ch/entscheid/bger_6B_133_2017</w:t>
      </w:r>
    </w:p>
    <w:p>
      <w:r>
        <w:t>FR: TF 6B 133/2017 du 12 janvier 2018</w:t>
      </w:r>
    </w:p>
    <w:p>
      <w:r>
        <w:t>IT: TF 6B 133/2017 del 12 gennaio 2018</w:t>
      </w:r>
    </w:p>
    <w:p>
      <w:pPr>
        <w:pStyle w:val="Heading2"/>
      </w:pPr>
      <w:r>
        <w:t>Regeste</w:t>
      </w:r>
    </w:p>
    <w:p>
      <w:r>
        <w:t>Internement (art. 64 al. 1 let. a CP), mesure thérapeutique institutionnelle en milieu fermé (art. 59 al. 3 CP) | Droit pénal (en général)</w:t>
      </w:r>
    </w:p>
    <w:p>
      <w:pPr>
        <w:pStyle w:val="Heading2"/>
      </w:pPr>
      <w:r>
        <w:t>Erwägungen</w:t>
      </w:r>
    </w:p>
    <w:p>
      <w:r>
        <w:rPr>
          <w:b/>
        </w:rPr>
        <w:t>E. 1</w:t>
      </w:r>
    </w:p>
    <w:p>
      <w:r>
        <w:t>Le recourant conteste la mesure d'internement qui a été ordonnée à son encontre. Il soutient que, conformément au principe de la proportionnalité, la cour cantonale aurait dû ordonner une mesure thérapeutique institutionnelle en milieu fermé ( art. 59 al. 3 CP ). Il fait valoir qu'il ne serait plus dans le déni et qu'il est prêt à se soumettre à un traitement, comme le constate le dernier rapport médical du Service de médecine et de psychiatrie pénitentiaires de E.________. Selon le recourant, une mesure thérapeutique institutionnelle ne serait pas vouée à l'échec; il se réfère notamment aux déclarations qu'aurait faites l'expert lors de l'audience du 20 septembre 2016.</w:t>
      </w:r>
    </w:p>
    <w:p>
      <w:r>
        <w:rPr>
          <w:b/>
        </w:rPr>
        <w:t>E. 1.1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rPr>
          <w:b/>
        </w:rPr>
        <w:t>E. 1.2</w:t>
      </w:r>
    </w:p>
    <w:p>
      <w:r>
        <w:t>Pour ordonner l'une des mesures prévues aux art. 59 à 61, 63 et 64 CP, le juge doit se fonder sur une expertise. Celle-ci doit se déterminer sur la nécessité et les chances de succès d'un traitement, la vraisemblance que l'auteur commette d'autres infractions,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3.1.3 p. 53).</w:t>
      </w:r>
    </w:p>
    <w:p>
      <w:r>
        <w:rPr>
          <w:b/>
        </w:rPr>
        <w:t>E. 1.3.1</w:t>
      </w:r>
    </w:p>
    <w:p>
      <w:r>
        <w:t>L'internement fondé sur l' 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 art. 64 al. 1 CP ( ATF 139 IV 57 consid. 1.3.3 p. 61).</w:t>
      </w:r>
    </w:p>
    <w:p>
      <w:r>
        <w:rPr>
          <w:b/>
        </w:rPr>
        <w:t>E. 1.3.2</w:t>
      </w:r>
    </w:p>
    <w:p>
      <w:r>
        <w:t>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à savoir une mesure thérapeutique institutionnelle - apparaisse vouée à l'échec (let. b). Ainsi, un trouble mental ne constitue pas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(FF 2005 4445). Il incombe au juge d'ordonner l'internement lorsque l'appréciation d'ensemble de ces éléments aboutit à un pronostic si défavorable que le risque d'une récidive apparaisse hautement vraisemblable (arrêt 6B_486/2009 du 28 octobre 2009 consid. 6.6). En présence d'un trouble psychiatrique, l'internement constitue, conformément au principe de proportionnalité consacré par l' art. 56 al. 2 CP , une mesure subsidiaire par rapport à une mesure institutionnelle prévue par l' art. 59 CP . En tant qu'ultima ratio, en raison de la gravité de l'atteinte à la liberté personnelle qu'il représente, l'internement n'entre ainsi pas en considération tant que la mesure institutionnelle apparaît utile ( ATF 139 IV 57 consid. 1.3.3 p. 61). Il s'ensuit que pour les auteurs dangereux souffrant d'un grave trouble mental, il y a lieu d'examiner au préalable si une mesure institutionnelle au sens de l' art. 59 CP , exécutée au besoin dans le cadre offrant une sécurité accrue prévue par l' art. 59 al. 3 CP , apparaît susceptible de les détourner de commettre de nouvelles infractions en rapport avec le trouble. Ce n'est que lorsqu'une mesure institutionnelle semble dénuée de chances de succès que l'internement peut être prononcé, s'il est nécessaire ( ATF 134 IV 315 consid. 3.2 et 3.3 p. 320 s.; ATF 134 IV 121 consid. 3.4.2 p. 130).</w:t>
      </w:r>
    </w:p>
    <w:p>
      <w:r>
        <w:rPr>
          <w:b/>
        </w:rPr>
        <w:t>E. 1.3.3</w:t>
      </w:r>
    </w:p>
    <w:p>
      <w:r>
        <w:t>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p. 70; ATF 135 IV 49 consid. 1.1.2 p. 53). Le risque de récidive peut se rapporter à un cercle restreint de personnes ( ATF 127 IV 1 consid. 2c/ee p. 9).</w:t>
      </w:r>
    </w:p>
    <w:p>
      <w:r>
        <w:rPr>
          <w:b/>
        </w:rPr>
        <w:t>E. 1.3.4</w:t>
      </w:r>
    </w:p>
    <w:p>
      <w:r>
        <w:t>L' art. 64 al. 2 CP prévoit qu'en cas de prononcé d'une peine privative de liberté et d'un internement, l'auteur doit d'abord purger la peine privative de liberté avant d'exécuter l'internement.</w:t>
      </w:r>
    </w:p>
    <w:p>
      <w:r>
        <w:rPr>
          <w:b/>
        </w:rPr>
        <w:t>E. 2.1</w:t>
      </w:r>
    </w:p>
    <w:p>
      <w:r>
        <w:t>La cour cantonale a admis que le recourant s'était rendu coupable de crimes (viol et tentatives de meurtre notamment), qui étaient directement visés par l' art. 64 al. 1 CP et dont la gravité justifiait une mesure d'internement. En outre, elle a qualifié de majeur le risque de récidive, en lien avec des infractions sexuelles et violentes, même plus graves que celles déjà commises. Se référant aux conclusions de l'expert, elle a retenu que le recourant ne souffrait pas d'un grave trouble mental et a retenu l'internement de l' art. 64 al. 1 let. a CP , en relation avec les caractéristiques de la personnalité de l'auteur, des circonstances dans lesquelles il a commis l'infraction et de son vécu. Tout traitement institutionnel selon l' art. 59 CP était donc exclu, puisqu'il était réservé aux auteurs souffrant d'une grave maladie mentale; du reste, le recourant était inaccessible à tout traitement psychiatrique, dans la mesure où il refusait de reconnaître la gravité des actes commis et de remettre en cause ses fonctionnements pathologiques.</w:t>
      </w:r>
    </w:p>
    <w:p>
      <w:r>
        <w:rPr>
          <w:b/>
        </w:rPr>
        <w:t>E. 2.2</w:t>
      </w:r>
    </w:p>
    <w:p>
      <w:r>
        <w:t>Le recourant part de la prémisse erronée que la cour cantonale a retenu un internement en application de l' art. 64 al. 1 let. b CP , alors qu'elle a nié l'existence d'un grave trouble mental. Il n'y a pas lieu d'examiner si les troubles mentaux décrits par l'expert peuvent être qualifiés de " grave trouble mental " au sens des art. 59 al. 1 et 64 al. 1 let. b CP, puisque, de toute façon, un traitement thérapeutique institutionnel paraît à l'heure actuelle voué à l'échec (cf. consid. 2.2.1 ci-dessous).</w:t>
      </w:r>
    </w:p>
    <w:p>
      <w:r>
        <w:rPr>
          <w:b/>
        </w:rPr>
        <w:t>E. 2.2.1</w:t>
      </w:r>
    </w:p>
    <w:p>
      <w:r>
        <w:t>Le recourant comprend mal les déclarations de l'expert, lorsque celui-ci affirme lors de l'audience du 20 septembre 2016 qu'un traitement ne serait pas voué à l'échec. Cette considération doit être prise dans un sens général. Dans son expertise de 2013 déjà, l'expert a constaté qu'un traitement institutionnel de très longue durée dans un milieu fortement contenant serait de nature à faire évoluer favorablement le recourant. Mais il a ajouté que tout traitement spécifique en lien avec la délinquance sexuelle impliquait que l'intéressé reconnaisse la gravité des actes commis et accepte authentiquement de remettre en cause ses fonctionnements pathologiques. Or, selon l'expert, le recourant n'a actuellement de loin pas la conscience nécessaire pour reconnaître émotionnellement et intimement l'extrême gravité des actes commis et par là s'engager de façon profonde dans un travail thérapeutique; le noyau de la problématique sexuelle pathologique dont souffre le recourant est donc pour l'heure inaccessible à tout traitement psychiatrique. La doctoresse D.________ du Service de médecine et de psychiatrie pénitentiaires de E.________ arrive du reste à la même conclusion: elle a constaté qu'il n'avait pas été possible d'aborder la problématique du délit. Enfin, il est important de mentionner que l'expert a expressément mis en garde les autorités pénales contre le risque de considérer la bonne volonté du recourant comme l'esquisse d'un traitement et d'infléchir de ce fait la décision judiciaire.</w:t>
      </w:r>
    </w:p>
    <w:p>
      <w:r>
        <w:rPr>
          <w:b/>
        </w:rPr>
        <w:t>E. 2.2.2</w:t>
      </w:r>
    </w:p>
    <w:p>
      <w:r>
        <w:t>Il ressort des considérations de l'expert qu'un traitement psychothérapeutique n'est pas exclu, mais qu'il s'inscrit dans une longue durée et que, tant que le recourant reste dans le déni de ses fonctionnements pathologiques, il est voué à l'échec. Il n'y a pas lieu de s'écarter de ces conclusions. Le recourant qui reproche à l'autorité précédente une mauvaise interprétation des déclarations de l'expert ne remet du reste pas en cause celles-ci. Les autres conditions de l'internement (gravité des infractions commises et risque de récidive) sont réalisées, de sorte que l'autorité précédente n'a pas violé le droit fédéral en ordonnant une mesure d'internement en application de l' art. 64 al. 1 CP . Le prononcé d'une mesure d'internement n'exclut pas un traitement psychiatrique ( art. 64 al. 4 phrase 3 CP ). L'expert propose du reste que le recourant soit transféré dans un établissement de type Curabilis consacré aux mesures.</w:t>
      </w:r>
    </w:p>
    <w:p>
      <w:r>
        <w:rPr>
          <w:b/>
        </w:rPr>
        <w:t>E. 3</w:t>
      </w:r>
    </w:p>
    <w:p>
      <w:r>
        <w:t>Le recours doit être rejeté. 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