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133/2016 vom 3. Juni 2016</w:t>
      </w:r>
    </w:p>
    <w:p>
      <w:r>
        <w:t>Bundesgericht, 2016-06-03, DE</w:t>
      </w:r>
    </w:p>
    <w:p>
      <w:r>
        <w:rPr>
          <w:b/>
        </w:rPr>
        <w:t xml:space="preserve">Quelle: </w:t>
      </w:r>
      <w:r>
        <w:t>https://mcp.opencaselaw.ch/entscheid/bger_6B_133_2016</w:t>
      </w:r>
    </w:p>
    <w:p>
      <w:r>
        <w:t>FR: TF 6B 133/2016 du 3 juin 2016</w:t>
      </w:r>
    </w:p>
    <w:p>
      <w:r>
        <w:t>IT: TF 6B 133/2016 del 3 giugno 2016</w:t>
      </w:r>
    </w:p>
    <w:p>
      <w:pPr>
        <w:pStyle w:val="Heading2"/>
      </w:pPr>
      <w:r>
        <w:t>Regeste</w:t>
      </w:r>
    </w:p>
    <w:p>
      <w:r>
        <w:t>Einstellung des Strafverfahrens (fahrlässige schwere Körperverletzung) | Strafprozess</w:t>
      </w:r>
    </w:p>
    <w:p>
      <w:pPr>
        <w:pStyle w:val="Heading2"/>
      </w:pPr>
      <w:r>
        <w:t>Erwägungen</w:t>
      </w:r>
    </w:p>
    <w:p>
      <w:r>
        <w:rPr>
          <w:b/>
        </w:rPr>
        <w:t>E. 1</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2</w:t>
      </w:r>
    </w:p>
    <w:p>
      <w:r>
        <w:t>Der Beschwerdeführer legt in seiner Eingabe vom 22. Februar 2016 dar, der Beschwerdegegner 2 sei am 18. August 2015 verstorben, was ihm im Zeitpunkt der Beschwerde an das Bundesgericht vom 3. Februar 2016 nicht bekannt gewesen sei. Als Beweis reicht er eine vom Zivilstandsamt Baden am 15. Februar 2016 ausgestellte Todesurkunde ein (act. 11 und 12).</w:t>
      </w:r>
    </w:p>
    <w:p>
      <w:r>
        <w:rPr>
          <w:b/>
        </w:rPr>
        <w:t>E. 3</w:t>
      </w:r>
    </w:p>
    <w:p>
      <w:r>
        <w:t>Der Tod der beschuldigten Person führt gemäss Art. 319 Abs. 1 lit. d StPO zur Verfahrenseinstellung. Selbst wenn der Argumentation des Beschwerdeführers in seiner Beschwerde gefolgt würde, wäre eine Fortführung des Strafverfahrens gegen den Beschwerdegegner 2 ausgeschlossen, da dieser zwischenzeitlich verstorben ist. Eine adhäsionsweise Beurteilung der Zivilforderungen des Beschwerdeführers im Strafverfahren kommt daher nicht mehr in Betracht. Damit fehlt es diesem vor Bundesgericht an der Beschwerdelegitimation im Sinne von Art. 81 Abs. 1 lit. b Ziff. 5 BGG. Die Befürchtung des Beschwerdeführers, der angefochtene Entscheid könnte die in einem separaten Zivilverfahren zu beurteilende Haftung der Erben des Beschwerdegegners 2 präjudizieren (vgl. act. 11 Ziff. 4), genügt nicht. Die zu Art. 81 Abs. 1 lit. b Ziff. 5 BGG ergangene Rechtsprechung verlangt vielmehr, dass sich der angefochtene Entscheid auf die Beurteilung der im Strafverfahren adhäsionsweise geltend gemachten bzw. noch geltend zu machenden Zivilforderungen auswirken kann (vgl. Urteile 6B_1082/2014 vom 3. März 2015 E. 1.4; 6B_1168/2014 vom 13. Februar 2015 E. 1.2; 6B_1018/2014 vom 26. Januar 2015 E. 5).</w:t>
      </w:r>
    </w:p>
    <w:p>
      <w:r>
        <w:rPr>
          <w:b/>
        </w:rPr>
        <w:t>E. 4</w:t>
      </w:r>
    </w:p>
    <w:p>
      <w:r>
        <w:t>Auf die Beschwerde ist nicht einzutreten. Auf eine Kostenauflage ist ausnahmsweise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