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6B_1339/2018 vom 21. Februar 2019</w:t>
      </w:r>
    </w:p>
    <w:p>
      <w:r>
        <w:t>Bundesgericht, 2019-02-21, FR</w:t>
      </w:r>
    </w:p>
    <w:p>
      <w:r>
        <w:rPr>
          <w:b/>
        </w:rPr>
        <w:t xml:space="preserve">Quelle: </w:t>
      </w:r>
      <w:r>
        <w:t>https://mcp.opencaselaw.ch/entscheid/bger_6B_1339_2018</w:t>
      </w:r>
    </w:p>
    <w:p>
      <w:r>
        <w:t>FR: TF 6B_1339/2018 du 21 février 2019</w:t>
      </w:r>
    </w:p>
    <w:p>
      <w:r>
        <w:t>IT: TF 6B_1339/2018 del 21 febbraio 2019</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précédente,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w:t>
      </w:r>
    </w:p>
    <w:p>
      <w:r>
        <w:t>En l'espèce, la recourante conclut uniquement à l'annulation du jugement attaqué et au renvoi de la cause à l'autorité précédente pour nouvelle décision. Une telle manière de faire n'est pas admissible. Les motifs du recours permettent cependant de comprendre qu'elle souhaite se voir acquittée du chef de prévention de violence ou menace contre les autorités et les fonctionnaires ( art. 285 ch. 1 CP ) en relation avec les faits qui font l'objet de l'arrêt entrepris et qu'elle conteste avoir commis. Cela suffit pour satisfaire aux exigences de forme déduites de l' art. 42 al. 1 et 2 LTF (cf. arrêt 6B_111/2015 précité consid. 1.7; ATF 137 II 313 consid. 1.3 p. 317).</w:t>
      </w:r>
    </w:p>
    <w:p>
      <w:r>
        <w:rPr>
          <w:b/>
        </w:rPr>
        <w:t>E. 2</w:t>
      </w:r>
    </w:p>
    <w:p>
      <w:r>
        <w:t>La recourante conteste sa condamnation, en invoquant un établissement arbitraire des faits, une violation de sa présomption d'innocence ainsi qu'une violation de l' art. 285 CP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p. 503; 140 III 264 consid. 2.3 p. 266 et les références citées). Le Tribunal fédéral n'entre pas en matière sur les critiques de nature appellatoire ( ATF 142 III 364 consid. 2.4 p. 368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6B_1154/2017 du 27 avril 2018 consid. 1.1; 6B_1183/2016 du 24 août 2017 consid. 1.1).</w:t>
      </w:r>
    </w:p>
    <w:p>
      <w:r>
        <w:t>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143 IV 500 consid. 1.1 p. 503; 138 V 74 consid. 7 p. 82; arrêt 6B_804/2017 précité consid. 2.2.3.3 destiné à la publication).</w:t>
      </w:r>
    </w:p>
    <w:p>
      <w:r>
        <w:rPr>
          <w:b/>
        </w:rPr>
        <w:t>E. 2.2</w:t>
      </w:r>
    </w:p>
    <w:p>
      <w:r>
        <w:t>L' 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t>Cette disposition réprime ainsi deux infractions différentes: la contrainte contre les autorités ou fonctionnaires et les voies de fait contre les autorités ou fonctionnaires.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(arrêts 6B_432/2018 du 27 juin 2018 consid. 5.1; 6B_863/2015 du 15 mars 2016 consid. 1.1 et les références citées).</w:t>
      </w:r>
    </w:p>
    <w:p>
      <w:r>
        <w:t>La notion de voies de fait est la même que celle figurant à l' art. 126 CP . Elles se définissent comme des atteintes physiques qui excèdent ce qui est toléré selon l'usage courant et les habitudes sociales et qui ne causent ni lésions corporelles, ni dommage à la santé. Une telle atteinte peut exister même si elle n'a causé aucune douleur physique ( ATF 134 IV 189 consid. 1.2 p. 191). Les voies de fait au sens de l' art. 285 CP doivent revêtir une certaine intensité. Le fait de provoquer une situation manifestement inconfortable pour la personne visée, à l'exemple d'un crachat, est toutefois suffisant (arrêt 6B_883/2018 du 18 décembre 2018 consid. 1.2 et les références citées). L'intensité de la violence doit être analysée selon les circonstances concrètes; peu importe dès lors que l'auteur emploie ses mains, ses pieds ou un objet (BERNARD CORBOZ, Les infractions en droit suisse, 3</w:t>
      </w:r>
    </w:p>
    <w:p>
      <w:r>
        <w:t>e éd. 2010, n° 10 s. ad art. 126 CP ).</w:t>
      </w:r>
    </w:p>
    <w:p>
      <w:r>
        <w:t>Les voies de fait doivent intervenir pendant l'accomplissement de l'acte officiel. Toutefois, une interprétation littérale conduirait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 6B_863/2015 du 15 mars 2016 consid. 5.1 et la référence citée).</w:t>
      </w:r>
    </w:p>
    <w:p>
      <w:r>
        <w:t>Selon l' art. 12 al. 2 CP , agit intentionnellement quiconque commet un crime ou un délit avec conscience et volonté. L'auteur agit déjà intentionnellement lorsqu'il tient pour possible la réalisation de l'infraction et l'accepte au cas où celle-ci se produirait.</w:t>
      </w:r>
    </w:p>
    <w:p>
      <w:r>
        <w:rPr>
          <w:b/>
        </w:rPr>
        <w:t>E. 2.3</w:t>
      </w:r>
    </w:p>
    <w:p>
      <w:r>
        <w:t>Dans une première partie de son mémoire (p. 5 ss), la recourante présente un résumé des faits de la cause. Par cette démarche, elle expose sa propre version des événements, en introduisant divers éléments qui ne ressortent pas de l'arrêt attaqué, sans toutefois démontrer en quoi la cour cantonale aurait arbitrairement omis de retenir ceux-ci (cf. art. 97 al. 1 LTF ). Ce faisant, elle ne présente aucun grief recevable.</w:t>
      </w:r>
    </w:p>
    <w:p>
      <w:r>
        <w:rPr>
          <w:b/>
        </w:rPr>
        <w:t>E. 2.4</w:t>
      </w:r>
    </w:p>
    <w:p>
      <w:r>
        <w:t>Se prévalant ensuite d'une constatation arbitraire des faits ainsi que d'une violation de sa présomption d'innocence, la recourante fait valoir qu'elle a été condamnée en l'absence de toute preuve tangible quant au fait que son véhicule avait heurté la jambe de l'intimé et roulé sur son pied.</w:t>
      </w:r>
    </w:p>
    <w:p>
      <w:r>
        <w:t>La cour cantonale a retenu que, si les versions présentées par les intéressés étaient certes contradictoires, l'intimé avait été constant dans ses déclarations tout au long de la procédure, au contraire de la recourante qui avait varié dans son récit. La version des faits présentée par l'intimé était de surcroît corroborée par celle de son collègue D.________, lequel se trouvait à quelques mètres des protagonistes au moment des faits. Enfin, la cour cantonale ne discernait aucun motif pour l'intimé d'avoir inventé ses accusations, alors que l'on comprenait bien les raisons pour lesquelles la recourante, avocate de profession, contestait avoir commis des voies de fait à l'encontre d'un fonctionnaire.</w:t>
      </w:r>
    </w:p>
    <w:p>
      <w:r>
        <w:t>Si la recourante se prévaut de l'absence de certificat médical ou d'attestation d'arrêt de travail, l'existence d'une lésion ou d'une incapacité de travail n'est toutefois pas déterminante au regard de l' art. 285 CP . De surcroît, la cour cantonale a relevé que le témoin D.________ avait entendu l'intimé hurler après que le véhicule de la recourante avait heurté sa jambe, puis avait vu sur sa chaussure des traces de pneu. C'est dès lors sans arbitraire qu'elle pouvait retenir que les déclarations de l'intimé étaient crédibles quant au fait que la recourante avait heurté sa jambe avec son véhicule et qu'elle lui avait roulé sur le pied.</w:t>
      </w:r>
    </w:p>
    <w:p>
      <w:r>
        <w:t>Dans cette configuration, l'absence d'attestation médicale et de photographie de la chaussure de l'intimé n'est pas à même d'ébranler les constatations factuelles de la cour cantonale. Au vu des critères avancés, celle-ci pouvait accorder une crédibilité accrue à la version présentée par l'intimé et retenir sans violer la présomption d'innocence de la recourante que celle-ci avait commis les faits qui lui étaient reprochés.</w:t>
      </w:r>
    </w:p>
    <w:p>
      <w:r>
        <w:rPr>
          <w:b/>
        </w:rPr>
        <w:t>E. 2.5</w:t>
      </w:r>
    </w:p>
    <w:p>
      <w:r>
        <w:t>La recourante soutient que, même s'il devait être reconnu qu'elle avait commis les faits litigieux, ces actes ne sauraient tomber sous le coup de l' art. 285 CP , faute d'être suffisamment graves et de représenter un " net déploiement de force ".</w:t>
      </w:r>
    </w:p>
    <w:p>
      <w:r>
        <w:t>Elle ne conteste toutefois pas qu'au moment des faits, l'intimé agissait en tant que fonctionnaire en train d'accomplir un acte officiel, en l'occurrence le contrôle du stationnement sur la voie publique. La recourante ne revient pas non plus sur le différend qui était survenu avec lui quant à la nécessité qu'elle se munisse d'un ticket de stationnement. Ainsi, il ressort de l'arrêt entrepris que l'intéressé lui avait demandé, après avoir essayé en vain de prendre contact avec elle en frappant à deux reprises sur la vitre avant gauche du véhicule, d'aller acheter un ticket, ce qu'elle n'avait pas l'intention de faire dès lors qu'elle n'était restée que quelques instants et qu'elle s'apprêtait à repartir. C'est après avoir refusé de répondre aux injonctions de l'agent, que l'intéressée avait décidé de quitter les lieux, apparemment contrariée, et qu'elle s'était mise à faire avancer son automobile au mépris de l'intégrité corporelle de l'intimé qui s'était placé devant elle.</w:t>
      </w:r>
    </w:p>
    <w:p>
      <w:r>
        <w:t>Les actes commis par la recourante au volant de son véhicule ne sauraient être considérés comme le reflet d'un comportement toléré par l'usage courant ou les habitudes sociales. Ils étaient de surcroît propres à occasionner des blessures à l'intimé et constituent à l'évidence des atteintes physiques revêtant une intensité suffisante pour qu'elles puissent être qualifiées de voies de fait. Enfin, la recourante ne conteste pas avoir vu l'intimé et avoir malgré tout avancé son véhicule en sa direction, sa roue s'étant même immobilisée quelques secondes sur le pied de celui-ci. On en déduit qu'elle a, à tout le moins, agi par dol éventuel.</w:t>
      </w:r>
    </w:p>
    <w:p>
      <w:r>
        <w:t>La condamnation de la recourante pour violence ou menace contre les autorités et les fonctionnaires ( art. 285 ch. 1 CP ) ne viole donc pas le droit fédéral.</w:t>
      </w:r>
    </w:p>
    <w:p>
      <w:r>
        <w:rPr>
          <w:b/>
        </w:rPr>
        <w:t>E. 3</w:t>
      </w:r>
    </w:p>
    <w:p>
      <w:r>
        <w:t>Il s'ensuit que le recours doit être rejeté dans la mesure de sa recevabilité.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