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6B_1337/2020 vom 21. Dezember 2020</w:t>
      </w:r>
    </w:p>
    <w:p>
      <w:r>
        <w:t>Bundesgericht, 2020-12-21, FR</w:t>
      </w:r>
    </w:p>
    <w:p>
      <w:r>
        <w:rPr>
          <w:b/>
        </w:rPr>
        <w:t xml:space="preserve">Quelle: </w:t>
      </w:r>
      <w:r>
        <w:t>https://mcp.opencaselaw.ch/entscheid/bger_6B_1337_2020</w:t>
      </w:r>
    </w:p>
    <w:p>
      <w:r>
        <w:t>FR: TF 6B_1337/2020 du 21 décembre 2020</w:t>
      </w:r>
    </w:p>
    <w:p>
      <w:r>
        <w:t>IT: TF 6B_1337/2020 del 21 dicembre 2020</w:t>
      </w:r>
    </w:p>
    <w:p>
      <w:pPr>
        <w:pStyle w:val="Heading2"/>
      </w:pPr>
      <w:r>
        <w:t>Erwägungen</w:t>
      </w:r>
    </w:p>
    <w:p>
      <w:r>
        <w:rPr>
          <w:b/>
        </w:rPr>
        <w:t>E. 1</w:t>
      </w:r>
    </w:p>
    <w:p>
      <w:r>
        <w:t>Par arrêt du 20 octobre 2020, la Chambre pénale de recours de la Cour de justice de la République et canton de Genève a rejeté le recours formé par A.________ contre l'ordonnance du 17 juillet 2020 par laquelle le Ministère public genevois a refusé d'entrer en matière sur la plainte du prénommé contre la fondation de libre passage B.________ et l'avocat C.________.</w:t>
      </w:r>
    </w:p>
    <w:p>
      <w:r>
        <w:t>En substance, A.________ fait grief à la fondation de libre passage, d'une part, de ne pas l'avoir informé, en 2015, d'un changement de loi intervenu en 2017, de sorte que, lorsqu'il est revenu vers elle en 2019, la procédure de versement de sa prévoyance professionnelle avait changé. D'autre part, il lui reproche de contrevenir à différents ordres juridiques (suisse, français, international) en conservant ses avoirs de prévoyance professionnelle, alors qu'en raison de son âge, le droit aux prestations vieillesse lui serait ouvert. En outre, il reproche à l'avocat C.________ d'avoir violé ses devoirs professionnels notamment en lui proposant de passer un accord avec son ex-épouse, ce qui constituerait une solution contraire à ses intérêts.</w:t>
      </w:r>
    </w:p>
    <w:p>
      <w:r>
        <w:t>A.________ forme un recours au Tribunal fédéral contre l'arrêt précité. Il conclut à ce que le Tribunal fédéral prononce " la recevabilité de sa requête ", reconnaisse " les inégalités pour le droit au versement de la prévoyance professionnelle en raison de la situation sociale d'un retraité ou préretraité dans son pays ", déclare " les articles 63 al. 1 bis et 64 al. 1 bis LDIP non conforme [sic] aux droits des traités internationaux ratifiés par la fédération suisse ", donne " force exécutoire à la jurisprudence française n° 08-15832 du 3 mars 2010 pour l'attribution du 2</w:t>
      </w:r>
    </w:p>
    <w:p>
      <w:r>
        <w:t>ème pilier suisse d'un ressortissant français ", ordonne " à l'institution de libre passage B.________ le versement de [s]a prévoyance professionnelle immédiat, sans délai ", prononce " la réparation des préjudices financiers, médicaux et morales [sic] occasionnés, frais et dépens ".</w:t>
      </w:r>
    </w:p>
    <w:p>
      <w:r>
        <w:rPr>
          <w:b/>
        </w:rPr>
        <w:t>E. 2</w:t>
      </w:r>
    </w:p>
    <w:p>
      <w:r>
        <w:t>Dans la mesure où les pièces produites par le recourant ne figureraient pas déjà à la procédure, elles sont nouvelles, partant irrecevables ( art. 99 al. 1 LTF ).</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3.2</w:t>
      </w:r>
    </w:p>
    <w:p>
      <w:r>
        <w:t>Conformément à l' art. 42 al. 1 LTF , le mémoire de recours doit être motivé.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89 et 115 consid. 2 p. 116; 134 II 244 consid. 2.1 p. 245); en particulier, la motivation doit être topique, c'est-à-dire se rapporter à la question juridique tranchée par l'autorité cantonale ( ATF 123 V 335 ; arrêt 6B_970/2017 du 17 octobre 2017 consid. 4). Par ailleurs, le Tribunal fédéral ne connaît de la violation des droits fondamentaux que si ce moyen est invoqué et motivé par le recourant ( art. 106 al. 2 LTF ; 143 IV 500 consid. 1.1 p. 503), c'est-à-dire s'il a été expressément soulevé et exposé de manière claire et détaillée ( ATF 142 III 364 consid. 2.4 p. 368).</w:t>
      </w:r>
    </w:p>
    <w:p>
      <w:r>
        <w:rPr>
          <w:b/>
        </w:rPr>
        <w:t>E. 3.3</w:t>
      </w:r>
    </w:p>
    <w:p>
      <w:r>
        <w:t>Le recourant ne se détermine nullement sur un éventuel tort moral ou dommage, ni sur leur principe, ni sur leur quotité. La simple affirmation qu'il est dans l'attente du versement d'un montant de 460'000 fr. de la part de la fondation de libre passage pour l'achat d'une maison au prix de 230'000 Euros pour laquelle il paye un loyer de 850 Euros et qu'il lui est réclamé un arriéré de loyer de 34'000 Euros ne permet par ailleurs pas de démontrer en quoi il subirait un quelconque dommage en lien direct avec une infraction pénale, qu'il ne qualifie d'ailleurs pas, étant rappelé que les dommages par ricochet sont exclus (cf. arrêts 6B_1050/2019 du 20 novembre 2019 consid. 1.2; 6B_868/2019 du 3 octobre 2019 consid. 3.2; 6B_116/2015 du 8 octobre 2015 consid. 2.1). Il ne fait en outre valoir aucune violation de ses droits de partie équivalant à un déni de justice formel, si bien qu'il ne peut pas fonder sa qualité pour recourir sur cet aspect non plus.</w:t>
      </w:r>
    </w:p>
    <w:p>
      <w:r>
        <w:t>Quoi qu'il en soit, comme l'a relevé à juste titre la cour cantonale, les reproches formulés par le recourant sont purement civils, voire administratifs et on ne distingue pas quelle infraction pénale pourrait entrer en ligne de compte. Le recourant ne l'indique pas. Il ne s'en prend pas à la motivation de la cour cantonale et se contente de prétendre à des violations relevant uniquement du droit civil et du droit international, comme le démontre par ailleurs ses conclusions. Ce faisant, il ne développe pas d'argumentation propre à démontrer en quoi la cour cantonale aurait violé le droit. Il ne formule ainsi aucun grief répondant aux exigences de motivation des art. 42 al. 2 et 106 al. 2 LTF.</w:t>
      </w:r>
    </w:p>
    <w:p>
      <w:r>
        <w:rPr>
          <w:b/>
        </w:rPr>
        <w:t>E. 4</w:t>
      </w:r>
    </w:p>
    <w:p>
      <w:r>
        <w:t>Faute de satisfaire aux conditions de recevabilité d'un recours en matière pénale au Tribunal fédéral (art. 42 al. 1 et 2 et 106 al. 2 LTF), le recours doit être écarté en application de l' art. 108 al. 1 let. a et b LTF .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