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6B_1337/2015 vom 6. Januar 2016</w:t>
      </w:r>
    </w:p>
    <w:p>
      <w:r>
        <w:t>Bundesgericht, 2016-01-06, DE</w:t>
      </w:r>
    </w:p>
    <w:p>
      <w:r>
        <w:rPr>
          <w:b/>
        </w:rPr>
        <w:t xml:space="preserve">Quelle: </w:t>
      </w:r>
      <w:r>
        <w:t>https://mcp.opencaselaw.ch/entscheid/bger_6B_1337_2015</w:t>
      </w:r>
    </w:p>
    <w:p>
      <w:r>
        <w:t>FR: TF 6B_1337/2015 du 6 janvier 2016</w:t>
      </w:r>
    </w:p>
    <w:p>
      <w:r>
        <w:t>IT: TF 6B_1337/2015 del 6 gennaio 2016</w:t>
      </w:r>
    </w:p>
    <w:p>
      <w:pPr>
        <w:pStyle w:val="Heading2"/>
      </w:pPr>
      <w:r>
        <w:t>Erwägungen</w:t>
      </w:r>
    </w:p>
    <w:p>
      <w:r>
        <w:rPr>
          <w:b/>
        </w:rPr>
        <w:t>E. 1</w:t>
      </w:r>
    </w:p>
    <w:p>
      <w:r>
        <w:t>Der Beschwerdeführer wirft seiner Ehefrau Diebstahl und Drohung vor. Einerseits habe sie aus einem Tresor in der ehemals gemeinsamen Wohnung Bargeld in Höhe von Fr. 7'000.-- entwendet. Anderseits habe sie ihm gesagt, dass Gott ihn strafen sollte und sie sich rächen werde. Als er in der folgenden Nacht nach Hause gekommen sei, seien verschiedene Leute in der Wohnung gewesen, darunter ein Geheimdienstmitarbeiter aus Bangladesh, der eigens in die Schweiz gereist sei. Der Beschwerdeführer habe dies als Drohung aufgefasst.</w:t>
      </w:r>
    </w:p>
    <w:p>
      <w:r>
        <w:t>Die Staatsanwaltschaft Winterthur stellte das Strafverfahren am 1. Juli 2015 ein. Eine dagegen gerichtete Beschwerde wies das Obergericht des Kantons Zürich am 11. November 2015 ab.</w:t>
      </w:r>
    </w:p>
    <w:p>
      <w:r>
        <w:t>Der Beschwerdeführer wendet sich ans Bundesgericht, ohne einen ausdrücklichen Antrag zu stellen. Offensichtlich will er, dass das Strafverfahren wieder aufgenommen wird.</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 seiner Legitimation nicht. Jedenfalls in Bezug auf die der Ehefrau vorgeworfene Drohung ist auch nicht ohne Weiteres ersichtlich, um welche Zivilforderung es gehen könnte. In Bezug auf die angeblich entwendeten Fr. 7'000.-- kann die Frage letztlich offenbleiben. Die Vorinstanz stellt fest, es lasse sich nicht nachprüfen, ob sich der angeblich für offenstehende Mietzinsen bereitgehaltene Bargeldbetrag überhaupt im Tresor befand; der Beschwerdeführer habe diesbezüglich keine Beweismittel genannt (Beschluss S. 10). Auch vor Bundesgericht legt der Beschwerdeführer keine entsprechenden Beweismittel vor. Folglich vermag er nicht darzutun, dass die Beweiswürdigung der Vorinstanz offensichtlich unrichtig im Sinne von Art. 97 Abs. 1 BGG wäre. Soweit der Beschwerdeführer dazu überhaupt legitimiert ist, ist a uf die Beschwerde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5)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