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6B_1336/2015 vom 30. Dezember 2015</w:t>
      </w:r>
    </w:p>
    <w:p>
      <w:r>
        <w:t>Bundesgericht, 2015-12-30, DE</w:t>
      </w:r>
    </w:p>
    <w:p>
      <w:r>
        <w:rPr>
          <w:b/>
        </w:rPr>
        <w:t xml:space="preserve">Quelle: </w:t>
      </w:r>
      <w:r>
        <w:t>https://mcp.opencaselaw.ch/entscheid/bger_6B_1336_2015</w:t>
      </w:r>
    </w:p>
    <w:p>
      <w:r>
        <w:t>FR: TF 6B_1336/2015 du 30 décembre 2015</w:t>
      </w:r>
    </w:p>
    <w:p>
      <w:r>
        <w:t>IT: TF 6B_1336/2015 del 30 dicembre 2015</w:t>
      </w:r>
    </w:p>
    <w:p>
      <w:pPr>
        <w:pStyle w:val="Heading2"/>
      </w:pPr>
      <w:r>
        <w:t>Erwägungen</w:t>
      </w:r>
    </w:p>
    <w:p>
      <w:r>
        <w:rPr>
          <w:b/>
        </w:rPr>
        <w:t>E. 1</w:t>
      </w:r>
    </w:p>
    <w:p>
      <w:r>
        <w:t>Der Beschwerdeführer reichte Anfang Oktober 2015 der Oberstaatsanwaltschaft des Kantons Zürich mehrere Mails ein, in welchen unter anderem von Bestechung und Korruption die Rede war. Die Oberstaatsanwaltschaft teilte ihm am 13. Oktober 2015 mit, nach Durchsicht der Mails ergebe sich kein Handlungsbedarf der Strafverfolgungsbehörden des Kantons Zürich, da die Mails den Anforderungen an eine Strafanzeige im Sinne von Art. 301 StPO nicht genügten. Eine dagegen gerichtete Beschwerde wies das Obergericht des Kantons Zürich am 26. November 2015 ab, soweit es darauf eintrat.</w:t>
      </w:r>
    </w:p>
    <w:p>
      <w:r>
        <w:t>Der Beschwerdeführer wendet sich ans Bundesgericht und beantragt unter anderem, die von ihm gerügten Bestechungen, Patentverletzungen und Anstiftungen dazu seien zu bestrafen.</w:t>
      </w:r>
    </w:p>
    <w:p>
      <w:r>
        <w:rPr>
          <w:b/>
        </w:rPr>
        <w:t>E. 2</w:t>
      </w:r>
    </w:p>
    <w:p>
      <w:r>
        <w:t>Der Beschwerdeführer beantragt eine mündliche Verhandlung (Beschwerde S. 7). Eine solche ordnet der Präsident nur ausnahmsweise an ( Art. 57 BGG ). Dafür besteht vorliegend kein Anlass.</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vor Bundesgericht zu seiner Legitimation nicht. Abgesehen davon, dass es möglicherweise mindestens teilweise ohnehin um Staatshaftung geht, ist aufgrund der wirren Vorwürfe nicht ersichtlich, um was für eine Zivilforderung es gehen könnte. Auf die Beschwerde ist mangels Legitimation des Beschwerdeführers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