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1334/2018 vom 20. Mai 2019</w:t>
      </w:r>
    </w:p>
    <w:p>
      <w:r>
        <w:t>Bundesgericht, 2019-05-20, DE</w:t>
      </w:r>
    </w:p>
    <w:p>
      <w:r>
        <w:rPr>
          <w:b/>
        </w:rPr>
        <w:t xml:space="preserve">Quelle: </w:t>
      </w:r>
      <w:r>
        <w:t>https://mcp.opencaselaw.ch/entscheid/bger_6B_1334_2018</w:t>
      </w:r>
    </w:p>
    <w:p>
      <w:r>
        <w:t>FR: TF 6B 1334/2018 du 20 mai 2019</w:t>
      </w:r>
    </w:p>
    <w:p>
      <w:r>
        <w:t>IT: TF 6B 1334/2018 del 20 maggio 2019</w:t>
      </w:r>
    </w:p>
    <w:p>
      <w:pPr>
        <w:pStyle w:val="Heading2"/>
      </w:pPr>
      <w:r>
        <w:t>Regeste</w:t>
      </w:r>
    </w:p>
    <w:p>
      <w:r>
        <w:t>Kosten, Parteientschädigung; rechtliches Gehör etc. | Strafprozess</w:t>
      </w:r>
    </w:p>
    <w:p>
      <w:pPr>
        <w:pStyle w:val="Heading2"/>
      </w:pPr>
      <w:r>
        <w:t>Erwägungen</w:t>
      </w:r>
    </w:p>
    <w:p>
      <w:r>
        <w:rPr>
          <w:b/>
        </w:rPr>
        <w:t>E. 1</w:t>
      </w:r>
    </w:p>
    <w:p>
      <w:r>
        <w:t>Die Beschwerdeführerin wendet sich gegen die Kostenauflage und Verweigerung einer Entschädigung.</w:t>
      </w:r>
    </w:p>
    <w:p>
      <w:r>
        <w:rPr>
          <w:b/>
        </w:rPr>
        <w:t>E. 1.1.1</w:t>
      </w:r>
    </w:p>
    <w:p>
      <w:r>
        <w:t>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Das Verhalten einer angeschuldigten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Urteil 6B_290/2018 vom 19. Februar 2019 E. 3.1 mit Hinweisen). Wird die beschuldigte Person ganz oder teilweise freigesprochen oder wird das Verfahren gegen sie eingestellt, so hat sie gemäss Art. 429 Abs. 1 lit. a-c StPO Anspruch auf Entschädigung ihrer Aufwendungen für die angemessene Ausübung ihrer Verfahrensrechte; Entschädigung der wirtschaftlichen Einbussen, die ihr aus ihrer notwendigen Beteiligung am Strafverfahren entstanden sind; Genugtuung für besonders schwere Verletzungen ihrer persönlichen Verhältnisse, insbesondere bei Freiheitsentzug. Die Strafbehörde kann die Entschädigung oder Genugtuung namentlich herabsetzen oder verweigern, wenn die beschuldigte Person rechtswidrig und schuldhaft die Einleitung des Verfahrens bewirkt oder dessen Durchführung erschwert hat ( Art. 430 Abs. 1 lit. a StPO ).</w:t>
      </w:r>
    </w:p>
    <w:p>
      <w:r>
        <w:rPr>
          <w:b/>
        </w:rPr>
        <w:t>E. 1.1.2</w:t>
      </w:r>
    </w:p>
    <w:p>
      <w:r>
        <w:t>Die Grundsätze zur Auflage von Verfahrenskosten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Umgekehrt hat die beschuldigte Person Anspruch auf Entschädigung, soweit die Kosten von der Staatskasse übernommen werden ( BGE 137 IV 352 E. 2.4.2 mit Hinweisen). Nach der Rechtsprechung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 diesbezügliche Sachverhaltsfeststellung sowie gegebenenfalls kantonales Recht ( BGE 144 IV 202 E. 2.2; 120 Ia 147 E. 3b; 119 Ia 332 E. 1b; 112 Ia 371 E. 2a; Urteil 6B_398/2018 vom 21. August 2018 E. 2.1).</w:t>
      </w:r>
    </w:p>
    <w:p>
      <w:r>
        <w:rPr>
          <w:b/>
        </w:rPr>
        <w:t>E. 1.2</w:t>
      </w:r>
    </w:p>
    <w:p>
      <w:r>
        <w:t>Die Vorinstanz erachtet als erstellt, dass die Beschwerdeführerin per Mobiltelefon mit einer Freundin kommuniziert und dabei auch über Patienten gesprochen hat. Deren Namen und die Hintergründe deren Hospitalisierung stammten, so die Vorinstanz, gemäss glaubhaften Aussagen einer Auskunftsperson im Verfahren gegen die Freundin von der Beschwerdeführerin. Es sei kaum vorstellbar, auf welchem anderen Weg die Auskunftsperson an die Informationen gelangt sein soll. Es bestünden daher keine vernünftigen Zweifel daran, dass die Beschwerdeführerin besonders schützenswerte Personendaten im Sinne des Bundesgesetzes über den Datenschutz vom 19. Juni 1992 (Datenschutzgesetz, DSG; SR 235.1) weitergegeben habe. Die Bekanntgabe von Daten ohne Rechtfertigungsgrund - was die Beschwerdeführerin weder behaupte noch ersichtlich sei - stelle eine Persönlichkeitsverletzung dar. Dies genüge, um ihr in zivilrechtlicher Hinsicht zum Vorwurf zu gereichen. Die Bekanntgabe von Personendaten an Aussenstehende sei zudem Anlass zur Aufnahme bzw. Ausdehnung der Strafuntersuchung auf die Beschwerdeführerin wegen Verletzung des Berufungsgeheimnisses und Widerhandlung gegen das Datenschutzgesetz gewesen. Ihr zivilrechtlich vorwerfbares Verhalten sei somit adäquat-kausal für die Einleitung der strafrechtlichen Untersuchung. Die Kostenauflage sowie das Absehen von einer Entschädigung und Genugtuung seien rechtens.</w:t>
      </w:r>
    </w:p>
    <w:p>
      <w:r>
        <w:rPr>
          <w:b/>
        </w:rPr>
        <w:t>E. 1.3</w:t>
      </w:r>
    </w:p>
    <w:p>
      <w:r>
        <w:t>Die Vorinstanz erachtet die Weitergabe vertraulicher Personendaten durch die Beschwerdeführerin als erstellt, was diese bestreitet. Die Kostenauflage darf sich indes nur auf unbestrittene oder bereits klar nachgewiesene Umstände stützen. Dies ist vorliegend nicht der Fall. Wie die Beschwerdeführerin zutreffend vorbringt, stützt die Vorinstanz den Tat- und Täternachweis allein auf Aussagen einer Drittperson, die auf Hörensagen beruhen und wozu augenscheinlich weder die Freundin der Beschwerdeführerin, welche sie der Auskunftsperson gegenüber als Informationsquelle benannt haben soll, noch die Beschwerdeführerin selber befragt wurden. Die Vorinstanz verkennt, dass sich die Glaubhaftigkeit der belastenden Aussage in Ermangelung einer kontrastierenden Einlassung der Beschwerdeführerin nicht schlüssig beurteilen lässt. In den beim Bundesgericht eingereichten Akten finden sich schliesslich keine objektiven Beweise, etwa das von der Vorinstanz genannte Chatprotokoll, welche die Täterschaft der Beschwerdeführerin eindeutig und klar belegen würden. Wie diese im Übrigen zu Recht moniert, verletzt auch die Staatsanwaltschaft ihr rechtliches Gehör bzw. die Begründungspflicht, da der Einstellungsverfügung nicht zu entnehmen ist, weshalb die Aussage der Auskunftsperson glaubhaft sein, und nur die Beschwerdeführerin als Täterin in Frage kommen soll. Auch die Staatsanwaltschaft stützt sich zudem einzig auf die auf Hörensagen beruhende Aussage einer - namentlich nicht genannten - Drittperson.</w:t>
      </w:r>
    </w:p>
    <w:p>
      <w:r>
        <w:rPr>
          <w:b/>
        </w:rPr>
        <w:t>E. 2</w:t>
      </w:r>
    </w:p>
    <w:p>
      <w:r>
        <w:t>Die Beschwerde ist gutzuheissen. Der angefochtene Entscheid ist aufzuheben und die Sache ist zu neuer Entscheidung an das Obergericht des Kantons Zug zurückzuweisen. Es sind keine Kosten zu erheben ( Art. 66 Abs. 1 und 4 BGG ). Der Kanton Zug hat der Beschwerdeführerin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