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1331/2023 vom 12. Januar 2024</w:t>
      </w:r>
    </w:p>
    <w:p>
      <w:r>
        <w:t>Bundesgericht, 2024-01-12, FR</w:t>
      </w:r>
    </w:p>
    <w:p>
      <w:r>
        <w:rPr>
          <w:b/>
        </w:rPr>
        <w:t xml:space="preserve">Quelle: </w:t>
      </w:r>
      <w:r>
        <w:t>https://mcp.opencaselaw.ch/entscheid/bger_6B_1331_2023</w:t>
      </w:r>
    </w:p>
    <w:p>
      <w:r>
        <w:t>FR: TF 6B 1331/2023 du 12 janvier 2024</w:t>
      </w:r>
    </w:p>
    <w:p>
      <w:r>
        <w:t>IT: TF 6B 1331/2023 del 12 gennaio 2024</w:t>
      </w:r>
    </w:p>
    <w:p>
      <w:pPr>
        <w:pStyle w:val="Heading2"/>
      </w:pPr>
      <w:r>
        <w:t>Regeste</w:t>
      </w:r>
    </w:p>
    <w:p>
      <w:r>
        <w:t>Voies de fait qualifiées, etc.; arbitraire | Infractions</w:t>
      </w:r>
    </w:p>
    <w:p>
      <w:pPr>
        <w:pStyle w:val="Heading2"/>
      </w:pPr>
      <w:r>
        <w:t>Erwägungen</w:t>
      </w:r>
    </w:p>
    <w:p>
      <w:r>
        <w:rPr>
          <w:b/>
        </w:rPr>
        <w:t>E. 1</w:t>
      </w:r>
    </w:p>
    <w:p>
      <w:r>
        <w:t>Il y a lieu de rappeler, en préambule, que des conclusions purement cassatoires ne sont en principe pas suffisantes dans le cadre d'un recours en matière pénale au Tribunal fédéral ( art. 107 al. 2 LTF ). On comprend néanmoins, à la lecture du mémoire de recours, qu'en demandant l'annulation de l'arrêt attaqué, le recourant conclut implicitement à être libéré des chefs de prévention retenus à son encontre. Il sied en conséquence de ne pas se montrer trop formaliste et d'entrer en matière sur le recours (cf. ATF 137 II 313 consid. 1.3; arrêt 2C_284/2016 du 20 janvier 2017 consid. 1.3, non publié in ATF 143 II 57 ; cf. aussi arrêts 6B_1313/2023 du 4 décembre 2023 consid. 3; 6B_507/2021 du 1er septembre 2021 consid. 1).</w:t>
      </w:r>
    </w:p>
    <w:p>
      <w:r>
        <w:rPr>
          <w:b/>
        </w:rPr>
        <w:t>E. 2</w:t>
      </w:r>
    </w:p>
    <w:p>
      <w:r>
        <w:t>Les pièces nouvelles produites par le recourant à l'appui de son recours sont irrecevables ( art. 99 LTF ).</w:t>
      </w:r>
    </w:p>
    <w:p>
      <w:r>
        <w:rPr>
          <w:b/>
        </w:rPr>
        <w:t>E. 3</w:t>
      </w:r>
    </w:p>
    <w:p>
      <w:r>
        <w:t>Le recourant s'en prend à l'établissement des faits, ainsi qu'à l'administration et à l'appréciation des preuves. Contestant les faits qui lui sont imputés, il reproche à la cour cantonale d'avoir violé son droit d'être entendu et son droit à un procès équitable. Il fait plus particulièrement grief à la cour cantonale d'avoir violé l' art. 389 al. 3 CPP en refusant d'ordonner différentes mesures d'instructions requises en appel.</w:t>
      </w:r>
    </w:p>
    <w:p>
      <w:r>
        <w:rPr>
          <w:b/>
        </w:rPr>
        <w:t>E. 3.1.1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4.1.3).</w:t>
      </w:r>
    </w:p>
    <w:p>
      <w:r>
        <w:rPr>
          <w:b/>
        </w:rPr>
        <w:t>E. 3.1.2</w:t>
      </w:r>
    </w:p>
    <w:p>
      <w:r>
        <w:t>Les déclarations de la victime constituent un élément de preuve. Le juge doit, dans l'évaluation globale de l'ensemble des éléments probatoires rassemblés au dossier, les apprécier librement (arrêts 6B_652/2023 du 11 décembre 2023 conisd. 1.1.3; 6B_912/2022 du 7 août 2023 consid. 3.1.2; 6B_174/2022 du 12 janvier 2023 consid. 5.1.3; 6B_579/2021 du 29 novembre 2021 consid. 1.1),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 6B_330/2021 du 15 septembre 2021 consid. 2.3).</w:t>
      </w:r>
    </w:p>
    <w:p>
      <w:r>
        <w:rPr>
          <w:b/>
        </w:rPr>
        <w:t>E. 3.1.3</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En principe, la procédure d'appel se fonde sur les preuves administrées pendant la procédure préliminaire et la procédure de première instance (cf. art. 389 al. 1 CPP ). L' art. 389 al. 3 CPP règle les preuves complémentaires. Ainsi, la juridiction d'appel administre, d'office ou à la demande d'une partie, les preuves complémentaires nécessaires au traitement de l'appel.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6B_983/2023 du 21 décembre 2023 consid. 2.2; 6B_1040/2022 du 23 août 2023 consid. 1.1).</w:t>
      </w:r>
    </w:p>
    <w:p>
      <w:r>
        <w:rPr>
          <w:b/>
        </w:rPr>
        <w:t>E. 3.2</w:t>
      </w:r>
    </w:p>
    <w:p>
      <w:r>
        <w:t>En l'espèce, il ressort du jugement attaqué que le recourant a requis, à l'appui de sa déclaration d'appel, l'audition de différents témoins et la production du dossier de la plaignante en mains du Service de la population, de l'Ambassade d'Italie et du Consulat italien. Dites réquisitions ont été rejetées par avis du 9 mars 2023, la direction de la procédure ayant considéré que les conditions de l' art. 389 al. 3 CPP n'étaient pas réunies. Le recourant les a réitérées à l'audience d'appel et elles ont été rejetées pour les mêmes motifs. La cour cantonale a exposé, en substance, que l'audition de différents témoins, telle que requise par le recourant, n'était pas utile, en particulier au regard du fait que les comportements reprochés à ce dernier étaient intervenus dans le huis clos familial. Quant aux dossiers dont la production était requise, on ne discernait pas, aux dires des juges précédents, en quoi ces éléments pouvaient être utiles pour juger la cause, ni en particulier la crédibilité de l'intimée, le recourant n'en ayant pas motivé la pertinence. Or, nonobstant les pièces dont se prévaut le recourant devant le Tribunal fédéral (témoignages écrits, pièces) - lesquelles sont au demeurant irrecevables (cf. art. 99 LTF , supra consid. 2) -, ce dernier échoue à établir le caractère insoutenable des éléments mis en exergue par les juges précédents pour écarter ses réquisitions de preuve. Compte tenu en particulier de la mise en exergue du huis clos dans le cadre duquel les faits retenus se sont produits, on ne voit pas en quoi les juges précédents auraient versé dans l'arbitraire en rejetant les différentes mesures d'instructions requises par le recourant. Il convient en définitive de renvoyer à la motivation cantonale (cf. art. 109 LTF ), le grief du recourant relatif à une violation de l' art. 389 al. 3 CPP , respectivement de son droit d'être entendu et de son droit au procès équitable, s'avérant manifestement mal fondé, et ce dans la faible mesure de sa recevabilité.</w:t>
      </w:r>
    </w:p>
    <w:p>
      <w:r>
        <w:rPr>
          <w:b/>
        </w:rPr>
        <w:t>E. 3.3</w:t>
      </w:r>
    </w:p>
    <w:p>
      <w:r>
        <w:t>Pour le reste et autant que l'on puisse réellement discerner un grief recevable sur ce point dans le mémoire du recourant, l'établissement des faits ressortant du jugement attaqué ne prête pas le flanc à la critique. On comprend certes que le recourant reproche au juge précédent, comme il le reprochait aux premiers juges en appel, d'avoir écarté sa version des faits au profit de celle exposée par la partie intimée. A cet égard, la cour cantonale a relevé que l'on ne disposait certes que de peu d'éléments matériels, dès lors que les faits s'étaient déroulés dans le huis clos familial, et que les parties avaient été constantes dans leurs déclarations diamétralement opposées. Elle n'en a pas moins considéré, à son tour, que la version de la partie intimée était plus crédible, notamment dans la mesure où elle n'avait pas accablé le prévenu. Elle a en outre tenu les propos de la fille du couple - quoique contestés par le recourant -, qui avait elle-même sollicité l'intervention de la police, étaient crédibles et authentiques, tout en ayant été recueillis au lendemain de l'intervention policière. Il paraissait exclu, compte tenu de cet élément temporel, que ses déclarations eussent pu être induites par l'intimée. Elle avait décrit différents épisodes de violence de manière détaillée, tout comme l'intimée elle-même. Certains épisodes qu'elle avait relatés, à l'image de celui du balcon, ne pouvaient avoir été inventés. A l'inverse, le recourant s'était montré démesuré dans ses propos, prétendant que son épouse était devenue folle, qu'elle espérait devenir millionnaire ou milliardaire et qu'elle avait prévu son coup depuis plus d'une année pour le piéger. Les juges précédents ont en outre réfuté de manière claire et convaincante les différents griefs soulevés devant eux, notamment en ce qui concerne l'hypothèse d'une manipulation de l'enfant C.________ par sa mère, soit l'intimée. Le recourant échoue a établir en quoi la cour cantonale aurait versé dans l'arbitraire en tenant les déclarations de sa fille pour crédibles, tout comme il échoue à mettre en évidence en quoi la cour cantonale aurait arbitrairement écarté sa thèse d'une affaire montée de toutes pièces par l'intimée, en marge d'un litige d'ordre financier le divisant d'avec son beau-père et son beau-frère. Sur ces aspects également, il convient en définitive de renvoyer à la motivation cantonale (cf. art. 109 LTF ), qui s'avère, là encore, claire et convaincante. On relèvera au surplus le recourant ne discute pas en soi, devant le Tribunal fédéral, les qualifications juridiques retenues à son encontre, le genre et la quotité de la peine infligée, ou encore la mesure d'expulsion prononcée à son encontre. Sur ces points aussi, il y a lieu de renvoyer à la motivation cantonale (cf. art. 109 LTF ).</w:t>
      </w:r>
    </w:p>
    <w:p>
      <w:r>
        <w:rPr>
          <w:b/>
        </w:rPr>
        <w:t>E. 4</w:t>
      </w:r>
    </w:p>
    <w:p>
      <w:r>
        <w:t>Au vu de ce qui précède, le recours, manifestement mal fondé, doit être rejeté dans la faible mesure de sa recevabilité, selon la procédure simplifiée prévue par l' art. 109 LTF . Le recourant, qui succombe, supporte les frais judiciaires (art. 65 al. 2 et 66 al. 1 LTF). Il n'y a pas lieu d'allouer des dépens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