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1331/2021 vom 11. Oktober 2022</w:t>
      </w:r>
    </w:p>
    <w:p>
      <w:r>
        <w:t>Bundesgericht, 2022-10-11, FR</w:t>
      </w:r>
    </w:p>
    <w:p>
      <w:r>
        <w:rPr>
          <w:b/>
        </w:rPr>
        <w:t xml:space="preserve">Quelle: </w:t>
      </w:r>
      <w:r>
        <w:t>https://mcp.opencaselaw.ch/entscheid/bger_6B_1331_2021</w:t>
      </w:r>
    </w:p>
    <w:p>
      <w:r>
        <w:t>FR: TF 6B 1331/2021 du 11 octobre 2022</w:t>
      </w:r>
    </w:p>
    <w:p>
      <w:r>
        <w:t>IT: TF 6B 1331/2021 del 11 ottobre 2022</w:t>
      </w:r>
    </w:p>
    <w:p>
      <w:pPr>
        <w:pStyle w:val="Heading2"/>
      </w:pPr>
      <w:r>
        <w:t>Regeste</w:t>
      </w:r>
    </w:p>
    <w:p>
      <w:r>
        <w:t>Violation d'une obligation d'entretien; droit d'être entendu | Infractions</w:t>
      </w:r>
    </w:p>
    <w:p>
      <w:pPr>
        <w:pStyle w:val="Heading2"/>
      </w:pPr>
      <w:r>
        <w:t>Erwägungen</w:t>
      </w:r>
    </w:p>
    <w:p>
      <w:r>
        <w:rPr>
          <w:b/>
        </w:rPr>
        <w:t>E. 1</w:t>
      </w:r>
    </w:p>
    <w:p>
      <w:r>
        <w:t>Dans un grief d'ordre formel qu'il convient d'examiner en premier lieu ( ATF 141 V 557 consid. 3), le recourant se plaint d'une violation du droit d'être entendu sous forme de défaut de motivation. Il reproche en particulier à la cour cantonale de n'avoir pas traité le grief soulevé à plusieurs reprises, selon lequel il n'avait jamais reçu le jugement du tribunal de première instance genevois le condamnant au versement d'une contribution d'entretien pour sa fille.</w:t>
      </w:r>
    </w:p>
    <w:p>
      <w:r>
        <w:rPr>
          <w:b/>
        </w:rPr>
        <w:t>E. 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147 IV 249 consid. 2.4 p. 252; 142 II 154 consid. 4.2 p. 157). Dès lors que l'on peut discerner les motifs qui ont guidé la décision de l'autorité, le droit à une décision motivée est respecté, même si la motivation présentée est erronée ( ATF 141 V 557 consid. 3.2.1 p. 565; arrêt 6B_391/2021 du 2 février 2022 consid. 2.3.1).</w:t>
      </w:r>
    </w:p>
    <w:p>
      <w:r>
        <w:rPr>
          <w:b/>
        </w:rPr>
        <w:t>E. 1.2</w:t>
      </w:r>
    </w:p>
    <w:p>
      <w:r>
        <w:t>L' 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3ème éd., 2010, n° 14 ad art. 217 CP ). En revanche, on ne peut reprocher à l'auteur d'avoir violé son obligation d'entretien que s'il avait les moyens de la remplir ou aurait pu les avoir (arrêts 6B_540/2020 du 22 octobre 2020 consid. 2.3; 6B_714/2019 du 22 août 2019 consid. 2.2;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 ATF 126 IV 131 consid. 3a p. 133). Selon la jurisprudence, il n'est pas nécessaire que le débiteur ait eu les moyens de fournir entièrement sa prestation, il suffit qu'il ait pu fournir plus qu'il ne l'a fait et qu'il ait, dans cette mesure, violé son obligation d'entretien ( ATF 114 IV 124 consid. 3b). Sur le plan subjectif, l'infraction réprimée par l' art. 217 CP doit être commise intentionnellement. Le dol éventuel suffit.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 ( ATF 128 IV 86 consid. 2b p. 90).</w:t>
      </w:r>
    </w:p>
    <w:p>
      <w:r>
        <w:rPr>
          <w:b/>
        </w:rPr>
        <w:t>E. 2.1</w:t>
      </w:r>
    </w:p>
    <w:p>
      <w:r>
        <w:t>Après avoir exposé la jurisprudence relative à l'élément constitutif subjectif de l'infraction réprimée par l' art. 217 CP , la cour cantonale a considéré que l'intention était donnée car l'obligation d'entretien avait été fixée dans le jugement du 8 mars 2016. Elle a par ailleurs retenu qu'en tout état, même en l'absence d'une telle décision judiciaire, l'obligation d'entretien du recourant reposait sur l'art. 276 du Code civil (CC).</w:t>
      </w:r>
    </w:p>
    <w:p>
      <w:r>
        <w:rPr>
          <w:b/>
        </w:rPr>
        <w:t>E. 2.2</w:t>
      </w:r>
    </w:p>
    <w:p>
      <w:r>
        <w:t>En l'espèce, il ressort du jugement cantonal que le recourant a toujours contesté avoir eu connaissance du jugement du 8 mars 2016, que ce soit durant la procédure préliminaire (arrêt entrepris, let. B.c.a), à l'audience devant le tribunal de police (B.d.c) et encore en appel (B. c.a). Il a ainsi expliqué n'avoir jamais été domicilié à l'adresse à U.________ où ont été notifiés le jugement du 8 mars 2016 et les convocations du tribunal de W1.________ à Moscou, mais à W.________ à Y.________ où il donnait, durant toute la période pénale, des cours de français. Il a remis, à titre de preuves, des attestations de travail et de salaire. Alors que le recourant a réitéré ses explications lors de son audience au tribunal de police, ce dernier a totalement occulté cette question dans son jugement, ce dont le recourant s'est plaint en appel (cf. mémoire d'appel du 26 février 2021; mémoire d'appel motivé du 25 août 2021; réplique du 23 septembre 2021). Or, bien que la cour cantonale ait constaté que le recourant avait - toujours - contesté avoir eu connaissance du jugement du 8 mars 2016 jusqu'à réception du courrier du ministère public de janvier 2021 (recte: 2020), elle ne s'est, à aucun moment, penchée sur le bien fondé de cet allégué dans son raisonnement juridique, pourtant déterminant s'agissant de la condition subjective de l'infraction retenue (connaissance de l'obligation fixée dans le jugement). En omettant d'examiner cette question, pourtant décisive pour l'issue du litige, la cour cantonale a éludé le grief - dûment motivé - du recourant, de sorte qu'elle a violé son droit d'être entendu. Au demeurant, dans l'hypothèse où la cour cantonale entendait considérer que l'intention était donnée, même en faisant fi de la connaissance du jugement civil, au motif qu'il s'agirait d'un cas patent en référence à l' ATF 128 IV 86 , elle ne motive d'aucune manière dans quelle mesure les critères permettant de retenir l'intention dans ce cas de figure seraient réunis en l'espèce. Sous cet angle, la motivation est lacunaire au sens de l' art. 112 LTF et ne permet pas à la Cour de céans d'exercer son contrôle. Il s'ensuit que le grief du recourant s'avère fondé et que le recours doit être admis sans qu'il y ait lieu d'examiner plus avant les autres griefs soulevés. L'arrêt attaqué doit être annulé et la cause renvoyée à la cour cantonale afin qu'elle traite le grief soulevé par le recourant, respectivement qu'elle examine l'élément subjectif de l'infraction.</w:t>
      </w:r>
    </w:p>
    <w:p>
      <w:r>
        <w:rPr>
          <w:b/>
        </w:rPr>
        <w:t>E. 3</w:t>
      </w:r>
    </w:p>
    <w:p>
      <w:r>
        <w:t>Le recours doit être admis, l'arrêt attaqué annulé et la cause renvoyée à la cour cantonale pour nouvelle décision. Au regard de la nature procédurale du vice examiné, il peut être procédé au renvoi sans ordonner préalablement un échange d'écritures (cf. ATF 133 IV 293 consid. 3.4.2 p. 296; arrêts 6B_370/2022 du 16 août 2022 consid. 2; 6B_248/2019 du 29 mars 2019 consid. 3).</w:t>
      </w:r>
    </w:p>
    <w:p>
      <w:r>
        <w:rPr>
          <w:b/>
        </w:rPr>
        <w:t>E. 4</w:t>
      </w:r>
    </w:p>
    <w:p>
      <w:r>
        <w:t>Le recourant, qui obtient gain de cause, ne supporte pas de frais ( art. 66 al. 1 LTF ). Il n'a pas droit à des dépens dès lors qu'il n'est pas assisté par un avocat et qu'il n'a pas démontré avoir engagé d'autres frais pour le dépôt de son recours ( art. 68 al. 1 LTF ).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