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6B_1330/2021 vom 27. Januar 2022</w:t>
      </w:r>
    </w:p>
    <w:p>
      <w:r>
        <w:t>Bundesgericht, 2022-01-27, DE</w:t>
      </w:r>
    </w:p>
    <w:p>
      <w:r>
        <w:rPr>
          <w:b/>
        </w:rPr>
        <w:t xml:space="preserve">Quelle: </w:t>
      </w:r>
      <w:r>
        <w:t>https://mcp.opencaselaw.ch/entscheid/bger_6B_1330_2021</w:t>
      </w:r>
    </w:p>
    <w:p>
      <w:r>
        <w:t>FR: TF 6B_1330/2021 du 27 janvier 2022</w:t>
      </w:r>
    </w:p>
    <w:p>
      <w:r>
        <w:t>IT: TF 6B_1330/2021 del 27 gennaio 2022</w:t>
      </w:r>
    </w:p>
    <w:p>
      <w:pPr>
        <w:pStyle w:val="Heading2"/>
      </w:pPr>
      <w:r>
        <w:t>Erwägungen</w:t>
      </w:r>
    </w:p>
    <w:p>
      <w:r>
        <w:rPr>
          <w:b/>
        </w:rPr>
        <w:t>E. 1</w:t>
      </w:r>
    </w:p>
    <w:p>
      <w:r>
        <w:t>Das Obergericht des Kantons Bern trat auf ein Kostenerlassgesuch mit Beschluss vom 27. Oktober 2021 nicht ein.</w:t>
      </w:r>
    </w:p>
    <w:p>
      <w:r>
        <w:rPr>
          <w:b/>
        </w:rPr>
        <w:t>E. 2</w:t>
      </w:r>
    </w:p>
    <w:p>
      <w:r>
        <w:t>Dagegen wendet sich B.________ für die damalige Gesuchstellerin und heutige Beschwerdeführerin mit Beschwerde in Strafsachen an das Bundesgericht. Da er nicht Anwalt ist und deshalb auch keine Parteien in Strafsachen vor Bundesgericht vertreten kann ( Art. 40 Abs. 1 BGG ), wurde der Beschwerdeführerin mit Verfügung vom 4. Januar 2022 in Anwendung von Art. 42 Abs. 5 BGG eine Frist bis zum 17. Januar 2022 angesetzt, um die Beschwerde eigenhändig zu unterschreiben und den Mangel zu beheben, ansonsten die Rechtsschrift unbeachtet bleibe. Der Mangel wurde bis heute nicht behoben. Auf die Beschwerde ist daher androhungsgemäss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