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6B_1329/2022 vom 3. März 2023</w:t>
      </w:r>
    </w:p>
    <w:p>
      <w:r>
        <w:t>Bundesgericht, 2023-03-03, FR</w:t>
      </w:r>
    </w:p>
    <w:p>
      <w:r>
        <w:rPr>
          <w:b/>
        </w:rPr>
        <w:t xml:space="preserve">Quelle: </w:t>
      </w:r>
      <w:r>
        <w:t>https://mcp.opencaselaw.ch/entscheid/bger_6B_1329_2022</w:t>
      </w:r>
    </w:p>
    <w:p>
      <w:r>
        <w:t>FR: TF 6B_1329/2022 du 3 mars 2023</w:t>
      </w:r>
    </w:p>
    <w:p>
      <w:r>
        <w:t>IT: TF 6B_1329/2022 del 3 marzo 2023</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l'espèce, la recourante qui est la mère de D.A.________ - et donc un proche de la victime au sens de l' art. 116 al. 2 CPP - a participé à la procédure de dernière instance cantonale. Elle a pris des conclusions civiles qui ont été admises en première instance, puis rejetées en seconde instance en raison de l'acquittement de l'intimé. La recourante a ainsi un intérêt juridique à l'annulation ou à la modification du jugement attaqué, de sorte qu'elle est habilitée à recourir au Tribunal fédéral (cf. arrêt 6B_258/2019 du 25 mars 2019 consid. 1).</w:t>
      </w:r>
    </w:p>
    <w:p>
      <w:r>
        <w:rPr>
          <w:b/>
        </w:rPr>
        <w:t>E. 2</w:t>
      </w:r>
    </w:p>
    <w:p>
      <w:r>
        <w:t>Se fondant sur l' art. 107 al. 2 LTF , la recourante reproche à la cour cantonale d'avoir violé le principe de l'autorité de l'arrêt de renvoi.</w:t>
      </w:r>
    </w:p>
    <w:p>
      <w:r>
        <w:rPr>
          <w:b/>
        </w:rPr>
        <w:t>E. 2.1</w:t>
      </w:r>
    </w:p>
    <w:p>
      <w:r>
        <w:t>Selon l'art. 107 al. 2, 1ère phrase, LTF, si le Tribunal fédéral admet le recours, il statue lui-même sur le fond ou renvoie l'affaire à l'autorité précédente pour qu'elle prenne une nouvelle décision. Le principe de l'autorité de l'arrêt de renvoi découle du droit fédéral non écrit ( ATF 148 I 127 consid. 3.1 p. 131; 143 IV 214 consid. 5.3.3 p. 222 s.).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148 I 127 consid. 3.1 p. 131; 143 IV 214 consid. 5.2.1 p. 220). La motivation de l'arrêt de renvoi détermine dans quelle mesure la cour cantonale est liée à la première décision, prononcé de renvoi qui fixe aussi bien le cadre du nouvel état de fait que celui de la nouvelle motivation juridique ( ATF 148 I 127 consid. 3.1 p. 131 s.; 135 III 334 consid. 2 p. 335 s.).</w:t>
      </w:r>
    </w:p>
    <w:p>
      <w:r>
        <w:t>Concernant en particulier l'état de fait, l'autorité à laquelle la cause est renvoyée par le Tribunal fédéral est liée par celui-ci uniquement lorsque les constatations de l'état de fait de l'instance précédente n'ont pas été attaquées, lorsque les griefs de faits ont été rejetés car considérés comme infondés par le Tribunal fédéral et qu'ils ont été tranchés de manière définitive ou lorsque les griefs relatifs à l'appréciation des preuves ont été déclarés irrecevables puisqu'ils ne respectaient pas les exigences légales de motivation ( ATF 143 IV 214 consid. 5.3.3 p. 222 s. et les références citées).</w:t>
      </w:r>
    </w:p>
    <w:p>
      <w:r>
        <w:rPr>
          <w:b/>
        </w:rPr>
        <w:t>E. 2.2</w:t>
      </w:r>
    </w:p>
    <w:p>
      <w:r>
        <w:t>Dans l'arrêt de renvoi du 14 février 2022 (6B_477/2021), le Tribunal fédéral a considéré que la cour cantonale s'était référée de manière prématurée au principe</w:t>
      </w:r>
    </w:p>
    <w:p>
      <w:r>
        <w:t>in dubio pro reo . En effet, celle-ci l'avait appliqué au stade de l'appréciation des preuves pour déterminer de quelle manière l'expertise devait être analysée, alors que ce principe ne pouvait être envisagé qu'après l'administration et l'appréciation complète des moyens de preuve. Le jugement attaqué ne comportait ainsi aucune discussion concernant la valeur probante des hypothèses retenues par les experts, notamment au regard des déclarations de l'intimé. Le Tribunal fédéral a donc annulé le jugement attaqué et a renvoyé la cause à la cour cantonale pour qu'elle procède à une nouvelle administration des preuves.</w:t>
      </w:r>
    </w:p>
    <w:p>
      <w:r>
        <w:rPr>
          <w:b/>
        </w:rPr>
        <w:t>E. 2.3</w:t>
      </w:r>
    </w:p>
    <w:p>
      <w:r>
        <w:t>Contrairement à ce que soutient la recourante, le Tribunal fédéral n'a pas retenu une des hypothèses émises par les experts plutôt qu'une autre. Il n'a pas arrêté définitivement les faits, mais a renvoyé la cause à la cour cantonale pour que celle-ci reprenne la procédure d'administration et d'appréciation des preuves. La cour cantonale était libre (et même elle avait le devoir) d'évaluer la force probante des différentes hypothèses émises par l'expertise. Elle n'a donc pas violé le principe de l'autorité de l'arrêt de renvoi en analysant à nouveau l'hypothèse du dysfonctionnement électrique et en l'admettant comme étant une des causes probables de l'incendie. Le grief tiré de la violation de l' art. 107 al. 2 LTF doit donc être rejeté.</w:t>
      </w:r>
    </w:p>
    <w:p>
      <w:r>
        <w:rPr>
          <w:b/>
        </w:rPr>
        <w:t>E. 3</w:t>
      </w:r>
    </w:p>
    <w:p>
      <w:r>
        <w:t>La recourante reproche à la cour cantonale d'avoir appliqué le principe</w:t>
      </w:r>
    </w:p>
    <w:p>
      <w:r>
        <w:t>in dubio pro reo , en faveur de l'intimé, alors que, selon l'expertise, aucun doute n'existerait quant au fait que l'incendie a été causé par ce dernier, soit par son action, soit par sa négligence. Elle considère que la cour cantonale a versé dans l'arbitraire en retenant qu'un dysfonctionnement électrique était à l'origine de l'incendie, dès lors que les experts auraient écarté un tel défaut comme cause possible de l'incendie.</w:t>
      </w:r>
    </w:p>
    <w:p>
      <w:r>
        <w:rPr>
          <w:b/>
        </w:rPr>
        <w:t>E. 3.1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w:t>
      </w:r>
    </w:p>
    <w:p>
      <w:r>
        <w:t>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rPr>
          <w:b/>
        </w:rPr>
        <w:t>E. 3.2</w:t>
      </w:r>
    </w:p>
    <w:p>
      <w:r>
        <w:t>Les experts ont retenu plusieurs scénarios comme causes possibles de l'incendie. Ils ont privilégié l'hypothèse de l'inflammation due à une activité humaine ou à une une inflammation due à la chaleur dégagée par une zone de cuisson de la table vitrocéramique, enclenchée par le chat de l'intimé ou laissée allumée par ce dernier. Ils n'ont pas opté pour l'une de ces trois hypothèses, n'étant pas en mesure de juger la véracité des allégations de l'intimé quant à l'emploi de la table de cuisson ou à la réalisation d'une quelconque activité générant de la chaleur le jour de l'incendie. En revanche, ils ont considéré comme peu probable qu'un dysfonctionnement électrique soit la cause de l'incendie, mais ne l'ont pas formellement exclu. Ils ont en effet expliqué que le matériau plastique constituant l'isolation de l'alimentation se pyrolyse en dégageant potentiellement une odeur particulière et, en outre, qu'un tel défaut nécessitait un laps de temps important entre son amorçage et l'apparition des premières flammes, alors que l'intimé avait quitté son appartement que depuis vingt minutes lorsque les pompiers sont intervenus.</w:t>
      </w:r>
    </w:p>
    <w:p>
      <w:r>
        <w:rPr>
          <w:b/>
        </w:rPr>
        <w:t>E. 3.3</w:t>
      </w:r>
    </w:p>
    <w:p>
      <w:r>
        <w:t>La cour cantonale a exclu un acte délibéré de l'intimé, celui-ci n'ayant pas eu d'intérêt d'agir de la sorte, ainsi que l'hypothèse d'une intervention humaine fortuite, au motif que l'intimé avait déclaré avoir certes fumé une cigarette mais avoir jeté le mégot dans un cendrier à poussoir situé sur la table basse du salon (mégot qui avait été effectivement retrouvé lors des investigations) et qu'il avait expliqué ne jamais allumer de bougies dans son appartement et vérifier toujours que ses appareils électroniques n'étaient pas sous tension avant de partir de chez lui. Suivant le juge de première instance, elle a considéré qu'on ne pouvait pas retenir que l'intimé avait laissé la table de cuisson allumée, puisque celui-ci contestait s'être servi de sa cuisinière le jour des faits et que les experts n'avaient pas pu déterminer si la plaque était allumée au moment de l'incendie.</w:t>
      </w:r>
    </w:p>
    <w:p>
      <w:r>
        <w:t>S'agissant du scénario selon lequel le chat de l'intimé aurait enclenché la table vitrocéramique, scénario retenu par les premiers juges, la cour cantonale a considéré que, si les experts avaient considéré que cette hypothèse ne pouvait pas être exclue, il était fort peu probable que le chat ait activé le bouton de commande générale puis, successivement, une des deux touches de réglage d'une zone de cuisson, tout cela dans un certain délai, étant précisé que si plusieurs touches avaient été actionnées simultanément, une sécurité aurait éteint la cuisinière. La cour cantonale a conclu que cette hypothèse ne pouvait pas être retenue.</w:t>
      </w:r>
    </w:p>
    <w:p>
      <w:r>
        <w:t>La cour cantonale s'est alors penchée sur la dernière hypothèse émise par les experts, à savoir un dysfonctionnement électrique. Elle a rappelé que seuls entraient en considération les alimentations du four, de la table de cuisson vitrocéramique, le plafonnier installé au centre de la cuisine et les deux machines à café, qui étaient branchées sur une multiprise, elle-même raccordée à une prise murale située au-dessus de l'évier, les autres causes de dysfonctionnement ayant été exclues. Elle a noté que, selon les experts, cette cause était peu probable au vu du laps de temps important nécessaire pour l'amorçage et l'apparition des premières flammes, qui ne correspondait pas à la durée relativement courte s'étant écoulée entre le départ de l'intimé de son appartement et l'appel aux pompiers. Elle a toutefois retenu qu'un court-circuit avait pu s'être produit avant même que l'intimé ne quitte son logement et a considéré que ce scénario ne pouvait donc pas être rejeté.</w:t>
      </w:r>
    </w:p>
    <w:p>
      <w:r>
        <w:t>En conclusion, la cour cantonale a relevé que les experts avaient hésité entre plusieurs hypothèses et qu'ils n'avaient pas considéré que l'un des scénarios serait d'une vraisemblance confinant à la certitude, alors que les autres constitueraient qu'une possibilité théorique. Elle a exprimé des doutes sérieux quant à l'allumage de la cuisinière par le chat de l'intimé et a donc mis l'intimé au bénéfice de l'hypothèse qui lui était la plus favorable, à savoir un dysfonctionnement électrique, et l'a en conséquence libéré de toute infraction.</w:t>
      </w:r>
    </w:p>
    <w:p>
      <w:r>
        <w:rPr>
          <w:b/>
        </w:rPr>
        <w:t>E. 3.4</w:t>
      </w:r>
    </w:p>
    <w:p>
      <w:r>
        <w:t>Les experts ont retenu plusieurs hypothèse, mais n'ont pas été en mesure d'opter pour l'une ou l'autre, ne pouvant pas apprécier la véracité des allégations de l'intimé. La cour cantonale a repris ces hypothèses au regard des déclarations de l'intimé et a considéré que l'on devait exclure toute activité de l'intimé (mégots de cigarette, bougie laissée allumée, plaque de cuisson non éteinte, etc.). Elle a estimé qu'il était fort peu probable qu'un chat puisse allumer une plaque de cuisson et a donc rejeté cette hypothèse pour retenir un dysfonctionnement électrique. Dans la mesure où elle ne s'est pas écartée de l'expertise, qui a retenu qu'un dysfonctionnement électrique n'était pas formellement exclu et qu'elle a expliqué les raisons qui l'ont amenée à retenir cette hypothèse plutôt qu'une autre, elle n'a pas versé dans l'arbitraire. Les griefs soulevés par la recourante sont donc infondés.</w:t>
      </w:r>
    </w:p>
    <w:p>
      <w:r>
        <w:rPr>
          <w:b/>
        </w:rPr>
        <w:t>E. 4</w:t>
      </w:r>
    </w:p>
    <w:p>
      <w:r>
        <w:t>Dénonçant une violation de l' art. 126 al. 1 let. b CPP , la recourante sollicite l'octroi de ses prétentions civiles.</w:t>
      </w:r>
    </w:p>
    <w:p>
      <w:r>
        <w:rPr>
          <w:b/>
        </w:rPr>
        <w:t>E. 5</w:t>
      </w:r>
    </w:p>
    <w:p>
      <w:r>
        <w:t>En vertu de l' art. 126 al. 1 let. b CPP , le tribunal statue également sur les conclusions civiles lorsqu'il acquitte le prévenu et que l'état de fait est suffisamment établi (à défaut, il doit renvoyer la partie plaignante à agir par la voie civile; art. 126 al. 2 let . d CPP).</w:t>
      </w:r>
    </w:p>
    <w:p>
      <w:r>
        <w:t>En l'espèce, la cour cantonale a rejeté les conclusions civiles. Après avoir relevé qu'un jugement d'acquittement n'empêchait pas une condamnation du prévenu sur le plan civil ( art. 53 CO ), la recourante soutient que la cour cantonale aurait dû lui allouer ses prétentions civiles, dès lors que l'état de fait était suffisamment établi, que la responsabilité de l'intimé ne faisait pas de doute et que la faute commise par ce dernier avait provoqué la mort de sa fille. Par cette argumentation, elle s'écarte toutefois de l'état de fait cantonal, qui a retenu que l'incendie était dû à un dysfonctionnement électrique et que la responsabilité de l'intimé n'était pas engagée. L'argumentation de la recourante est donc irrecevable.</w:t>
      </w:r>
    </w:p>
    <w:p>
      <w:r>
        <w:rPr>
          <w:b/>
        </w:rPr>
        <w:t>E. 6</w:t>
      </w:r>
    </w:p>
    <w:p>
      <w:r>
        <w:t>Le recours doit être rejeté dans la mesure où il est recevable.</w:t>
      </w:r>
    </w:p>
    <w:p>
      <w:r>
        <w:t>Comme la recourante est dans le besoin et que ses conclusions ne paraissaient pas d'emblée vouées à l'échec, sa demande d'assistance judiciaire doit être admise ( art. 64 al. 1 LTF ). Par conséquent, il y a lieu de la dispenser des frais judiciaires et d'allouer une indemnité à sa mandataire, désignée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