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6B_1329/2019 vom 20. Januar 2020</w:t>
      </w:r>
    </w:p>
    <w:p>
      <w:r>
        <w:t>Bundesgericht, 2020-01-20, FR</w:t>
      </w:r>
    </w:p>
    <w:p>
      <w:r>
        <w:rPr>
          <w:b/>
        </w:rPr>
        <w:t xml:space="preserve">Quelle: </w:t>
      </w:r>
      <w:r>
        <w:t>https://mcp.opencaselaw.ch/entscheid/bger_6B_1329_2019</w:t>
      </w:r>
    </w:p>
    <w:p>
      <w:r>
        <w:t>FR: TF 6B_1329/2019 du 20 janvier 2020</w:t>
      </w:r>
    </w:p>
    <w:p>
      <w:r>
        <w:t>IT: TF 6B_1329/2019 del 20 gennaio 2020</w:t>
      </w:r>
    </w:p>
    <w:p>
      <w:pPr>
        <w:pStyle w:val="Heading2"/>
      </w:pPr>
      <w:r>
        <w:t>Erwägungen</w:t>
      </w:r>
    </w:p>
    <w:p>
      <w:r>
        <w:rPr>
          <w:b/>
        </w:rPr>
        <w:t>E. 1</w:t>
      </w:r>
    </w:p>
    <w:p>
      <w:r>
        <w:t>Par arrêt du 5 novembre 2019, la Chambre administrative de la Cour de justice de la République et canton de Genève a rejeté les recours interjetés les 13 et 27 juin 2019 et 16 juillet 2019 par A.________ contre les décisions de l'établissement fermé B.________ des 11, 14 et 21 juin 2019.</w:t>
      </w:r>
    </w:p>
    <w:p>
      <w:r>
        <w:t>A.________ a formé un recours en matière pénale au Tribunal fédéral contre cet arrêt.</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le Tribunal fédéral a imparti au recourant, par ordonnance du 21 novembre 2019, un délai échéant au 6 décembre 2019 pour s'acquitter d'une avance de frais de 800 francs. Ce montant n'ayant pas été payé dans le délai fixé, l'intéressé a été derechef invité, par ordonnance du 13 décembre 2019, à verser l'avance de frais précitée jusqu'au 9 janvier 2020, avec l'indication qu'à défaut, le recours sera déclaré irrecevable. A nouveau, le recourant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