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6B_1327/2020 vom 21. Dezember 2020</w:t>
      </w:r>
    </w:p>
    <w:p>
      <w:r>
        <w:t>Bundesgericht, 2020-12-21, DE</w:t>
      </w:r>
    </w:p>
    <w:p>
      <w:r>
        <w:rPr>
          <w:b/>
        </w:rPr>
        <w:t xml:space="preserve">Quelle: </w:t>
      </w:r>
      <w:r>
        <w:t>https://mcp.opencaselaw.ch/entscheid/bger_6B_1327_2020</w:t>
      </w:r>
    </w:p>
    <w:p>
      <w:r>
        <w:t>FR: TF 6B_1327/2020 du 21 décembre 2020</w:t>
      </w:r>
    </w:p>
    <w:p>
      <w:r>
        <w:t>IT: TF 6B_1327/2020 del 21 dicembre 2020</w:t>
      </w:r>
    </w:p>
    <w:p>
      <w:pPr>
        <w:pStyle w:val="Heading2"/>
      </w:pPr>
      <w:r>
        <w:t>Erwägungen</w:t>
      </w:r>
    </w:p>
    <w:p>
      <w:r>
        <w:rPr>
          <w:b/>
        </w:rPr>
        <w:t>E. 1</w:t>
      </w:r>
    </w:p>
    <w:p>
      <w:r>
        <w:t>Die Regionale Staatsanwaltschaft Berner Jura-Seeland nahm am 28. September 2020 eine Strafuntersuchung gegen die vom Beschwerdeführer Beschuldigten nicht an die Hand. Eine dagegen gerichtete Beschwerde wies das Obergericht des Kantons Bern mit Beschluss vom 12. November 2020 ab, soweit es darauf eintrat.</w:t>
      </w:r>
    </w:p>
    <w:p>
      <w:r>
        <w:t>Der Beschwerdeführer wendet sich dagegen an das Bundesgericht.</w:t>
      </w:r>
    </w:p>
    <w:p>
      <w:r>
        <w:rPr>
          <w:b/>
        </w:rPr>
        <w:t>E. 2</w:t>
      </w:r>
    </w:p>
    <w:p>
      <w:r>
        <w:t>In einer Beschwerde an das Bundesgericht ist unter Bezugnahme auf den angefochtenen Entscheid darzulegen, inwieweit dieser gegen das Recht verstossen soll ( Art. 42 Abs. 2 BGG ). Das Bundesgericht prüft insbesondere die Verletzung von Grundrechten (z.B. Willkür bei der Sachverhaltsfeststellung) nur insofern, als eine solche Rüge in der Beschwerde begründet worden ist ( Art. 106 Abs. 2 BGG ).</w:t>
      </w:r>
    </w:p>
    <w:p>
      <w:r>
        <w:t>Gemäss Art. 81 Abs. 1 lit. b Ziff. 5 BGG ist die Privatklägerschaft zur Beschwerde in Strafsachen nur berechtigt, wenn der angefochtene Entscheid sich auf die Beurteilung ihrer Zivilansprüche auswirken kann (Art. 81 Abs. 1 lit. b Ziff. 5 BGG).</w:t>
      </w:r>
    </w:p>
    <w:p>
      <w:r>
        <w:rPr>
          <w:b/>
        </w:rPr>
        <w:t>E. 3</w:t>
      </w:r>
    </w:p>
    <w:p>
      <w:r>
        <w:t>Die Beschwerde genügt den Begründungsanforderungen offensichtlich nicht ( Art. 42 Abs. 2 BGG und Art. 106 Abs. 2 BGG ). Daraus ergibt sich nicht, dass und inwiefern der angefochtene Beschluss, mit dem die Vorinstanz die Nichtanhandnahmeverfügung der Staatsanwaltschaft schützt, verfassungs- oder bundesrechtswidrig sein könnte. Der Verweis auf die Beschwerdeschrift an die Vorinstanz reicht als Begründung einer Beschwerde nicht aus. Die Begründung muss in der Beschwerde selbst enthalten sein ( BGE 143 II 283 E. 1.2.3). Zudem äussert sich der Beschwerdeführer auch nicht ansatzweise zu seiner Legitimation als Privatkläger. Auf die Beschwerde ist mangels tauglicher Begründung im Verfahren nach Art. 108 BGG nicht einzutreten.</w:t>
      </w:r>
    </w:p>
    <w:p>
      <w:r>
        <w:rPr>
          <w:b/>
        </w:rPr>
        <w:t>E. 4</w:t>
      </w:r>
    </w:p>
    <w:p>
      <w:r>
        <w:t>Bei diesem Verfahrensausgang ist der Beschwerdeführer kostenpflichtig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