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6B_1326/2021 vom 23. August 2023</w:t>
      </w:r>
    </w:p>
    <w:p>
      <w:r>
        <w:t>Bundesgericht, 2023-08-23, FR</w:t>
      </w:r>
    </w:p>
    <w:p>
      <w:r>
        <w:rPr>
          <w:b/>
        </w:rPr>
        <w:t xml:space="preserve">Quelle: </w:t>
      </w:r>
      <w:r>
        <w:t>https://mcp.opencaselaw.ch/entscheid/bger_6B_1326_2021</w:t>
      </w:r>
    </w:p>
    <w:p>
      <w:r>
        <w:t>FR: TF 6B_1326/2021 du 23 août 2023</w:t>
      </w:r>
    </w:p>
    <w:p>
      <w:r>
        <w:t>IT: TF 6B_1326/2021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de joindre les deux causes en question avec l'ensemble des autres causes concernant des faits analogues.</w:t>
      </w:r>
    </w:p>
    <w:p>
      <w:r>
        <w:rPr>
          <w:b/>
        </w:rPr>
        <w:t>E. 2</w:t>
      </w:r>
    </w:p>
    <w:p>
      <w:r>
        <w:t>Le Tribunal fédéral examine d'office et librement la recevabilité des recours qui lui sont soumis ( ATF 149 IV 9 consid. 2; ATF 146 IV 185 consid. 2 p. 188).</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le recourant n° 1 a qualité pour recourir.</w:t>
      </w:r>
    </w:p>
    <w:p>
      <w:r>
        <w:t>Le recourant n° 2 revêt pour sa part la qualité de prévenu (cf.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le représenter devant le Tribunal fédéral (cf. art. 40 al. 2 et 42 al. 1 et 5 LTF), sachant que celles-ci se confondent avec la problématique qui figure au coeur du présent litige.</w:t>
      </w:r>
    </w:p>
    <w:p>
      <w:r>
        <w:rPr>
          <w:b/>
        </w:rPr>
        <w:t>E. 3</w:t>
      </w:r>
    </w:p>
    <w:p>
      <w:r>
        <w:t>A l'instar de ce qui prévalait dans le contexte de l'arrêt rendu le 27 septembre 2022 par la cour de céans (6B_1325/2021 et 6B_1348/2021, publié aux ATF 149 IV 9 ), qui concerne un cas analogue, les recourants s'en prennent, à maints égards, à la motivation par laquelle la cour cantonale, en examinant si le recours formé devant elle respectait les exigences de la forme écrite, est parvenue à la conclusion que tel n'était pas le cas, avant de le déclarer irrecevable. Ils soulèvent différents griefs, par lesquels ils reprochent entre autres à la cour cantonale d'avoir violé les art. 393 ss CPP , en lien avec l' art. 129 al. 2 CPP . Ils invoquent en outre, notamment,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du recourant n° 1 ne comporte pas le nom du recourant n° 2, mais uniquement une désignation calquée sur celle de l'ordonnance pénale du 31 mars 2021, soit "B.________". Force est donc de constater que la procuration en question n'est pas formellement conforme aux éléments rappelés plus haut.</w:t>
      </w:r>
    </w:p>
    <w:p>
      <w:r>
        <w:t>Les recourants font néanmoins état des particularités de la présente cause, en décrivant l'ordonnance pénale du 31 mars 2021 comme le "</w:t>
      </w:r>
    </w:p>
    <w:p>
      <w:r>
        <w:t>premier des maillons de l'étrange chaîne procédurale qui amène au[x] présent[s] recours ". Force est toutefois de relever d'emblée que la situation procédurale inédite qui singularise le cas d'espèce se trouve en réalité liée au refus du recourant n° 2 de décliner son identité. D'un point de vue purement objectif, ce refus est en effet aussi bien à l'origine du libellé de l'ordonnance pénale en cause, s'agissant de la désignation du recourant n° 2, que du motif d'irrecevabilité retenu dans l'arrêt attaqué et avant lui dans le prononcé du Tribunal de police de l'arrondissement de La Côte du 20 août 2021,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respectivement du principe</w:t>
      </w:r>
    </w:p>
    <w:p>
      <w:r>
        <w:t>nemo tenetur , les recourants s'en prennent en substance à la motivation par laquelle la cour cantonale a considéré que ce droit ne pouvait justifier un refus de révéler son identité et de signer une procuration en bonne et due forme en faveur d'un conseil de choix. On comprend qu'ils contestent, sous cet angle notamment, le motif d'irrecevabilité retenu par les juges précédents. Au vu des spécificités du cas d'espèce, il convient d'examiner en priorité le présent grief.</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le recourant n° 2, soit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Les recourants font encore grief à la cour cantonale d'avoir violé les art. 6 CEDH , 29 et 29a Cst. et 354 CPP, respectivement 396 CPP. Ils font valoir que l'arrêt attaqué, en ce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En l'espèce, ce qui précède prévaut également dans la présente configuration, sachant qu'elle demeure analogue. Si l'on admet ici aussi que la désignation en cause du recourant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2 est à l'origine des difficultés procédurales auxquelles il a été confronté en raison de son refus de décliner son identité. Son attitude aurait été susceptible d'avoir un effet sur les frais de la cause mais ne saurait,</w:t>
      </w:r>
    </w:p>
    <w:p>
      <w:r>
        <w:t>in fine , le priver de tout accès au juge. L'équité de la procédure en a été, quoi qu'il en soit, affectée. Il faut dès lors 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 La requête de suspension, rejetée dans un premier temps, est en tout état devenue sans objet, les causes 6B_1325/2021 et 6B_1348/2021 ayant donné lieu à l'arrêt rendu le 27 septembre 2022, publié aux ATF 149 IV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