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6B_1326/2015 vom 14. März 2016</w:t>
      </w:r>
    </w:p>
    <w:p>
      <w:r>
        <w:t>Bundesgericht, 2016-03-14, DE</w:t>
      </w:r>
    </w:p>
    <w:p>
      <w:r>
        <w:rPr>
          <w:b/>
        </w:rPr>
        <w:t xml:space="preserve">Quelle: </w:t>
      </w:r>
      <w:r>
        <w:t>https://mcp.opencaselaw.ch/entscheid/bger_6B_1326_2015</w:t>
      </w:r>
    </w:p>
    <w:p>
      <w:r>
        <w:t>FR: TF 6B_1326/2015 du 14 mars 2016</w:t>
      </w:r>
    </w:p>
    <w:p>
      <w:r>
        <w:t>IT: TF 6B_1326/2015 del 14 marzo 2016</w:t>
      </w:r>
    </w:p>
    <w:p>
      <w:pPr>
        <w:pStyle w:val="Heading2"/>
      </w:pPr>
      <w:r>
        <w:t>Erwägungen</w:t>
      </w:r>
    </w:p>
    <w:p>
      <w:r>
        <w:rPr>
          <w:b/>
        </w:rPr>
        <w:t>E. 1</w:t>
      </w:r>
    </w:p>
    <w:p>
      <w:r>
        <w:t>Der Beschwerdeführer beantragt, die vollständigen Akten des Administrativmassnahmeverfahrens vor dem Strassenverkehrsamt des Kantons Aargau seien von Amtes wegen beizuziehen. Dabei übersieht er, dass das Bundesgericht keine Beweise abnimmt, um den vorinstanzlichen Sachverhalt zu ergänzen, und auch keine Beweiserhebungen anordnet ( BGE 133 IV 293 E. 3.4.2 S. 295 f. mit Hinweisen). Dieser Antrag erweist sich somit als offensichtlich unzulässig, weshalb darauf nicht einzutreten ist.</w:t>
      </w:r>
    </w:p>
    <w:p>
      <w:r>
        <w:rPr>
          <w:b/>
        </w:rPr>
        <w:t>E. 2.1</w:t>
      </w:r>
    </w:p>
    <w:p>
      <w:r>
        <w:t>Der Beschwerdeführer macht geltend, die Vorinstanz habe sein Revisionsgesuch zu Unrecht abgewiesen.</w:t>
      </w:r>
    </w:p>
    <w:p>
      <w:r>
        <w:rPr>
          <w:b/>
        </w:rPr>
        <w:t>E. 2.2.1</w:t>
      </w:r>
    </w:p>
    <w:p>
      <w:r>
        <w:t>Wer durch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Nach der Rechtsprechung kann ein neues Gutachten unter anderem eine Revision rechtfertigen, wenn es geeignet ist, eine neue Tatsache zu beweisen ( BGE 137 IV 59 E. 5.1.2 S. 67; 101 IV 247 E. 2 S. 249).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rPr>
          <w:b/>
        </w:rPr>
        <w:t>E. 2.2.2</w:t>
      </w:r>
    </w:p>
    <w:p>
      <w:r>
        <w:t>Das Revisionsverfahren gemäss StPO gliedert sich grundsätzlich in zwei Phasen, nämlich eine Vorprüfung ( Art. 412 Abs. 1 und 2 StPO ) sowie eine materielle Prüfung der geltend gemachten Revisionsgründe (Art. 412 Abs. 3 und 4 sowie Art. 413 StPO ). Es handelt sich dabei um ein zweistufiges Verfahren, für welches das Berufungsgericht zuständig ist ( Art. 412 Abs. 1 und 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 6B_791/2014 vom 7. Mai 2015 E. 2.2 mit Hinweisen, nicht publ. in: BGE 141 IV 298 ).</w:t>
      </w:r>
    </w:p>
    <w:p>
      <w:r>
        <w:rPr>
          <w:b/>
        </w:rPr>
        <w:t>E. 2.2.3</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Beweismitteln, die der Verurteilte im Zeitpunkt, als der Strafbefehl erging, nicht kannte oder die schon damals geltend zu machen für ihn unmöglich war oder keine Veranlassung bestand ( BGE 130 IV 72 E. 2.3 S. 75 f.). An dieser Rechtsprechung ist grundsätzlich festzuhalten (Urteil 6B_791/2014 vom 7. Mai 2015 E. 2.3 mit Hinweisen, nicht publ. in: BGE 141 IV 298 ). Rechtsmissbrauch ist nur mit Zurückhaltung anzunehmen. Es ist in jedem Einzelfall zu prüfen, ob unter den gegebenen Umständen das Revisionsgesuch dazu dient, den ordentlichen Rechtsweg zu umgehen (vgl. BGE 130 IV 72 E. 2.2 S. 74 und E. 2.4 S. 76; Urteil 6B_791/2014 vom 7. Mai 2015 E. 2.3 mit Hinweisen, nicht publ. in: BGE 141 IV 298 ).</w:t>
      </w:r>
    </w:p>
    <w:p>
      <w:r>
        <w:rPr>
          <w:b/>
        </w:rPr>
        <w:t>E. 2.3</w:t>
      </w:r>
    </w:p>
    <w:p>
      <w:r>
        <w:t>Aus dem Strafbefehl vom 5. März 2015 ergibt sich, dass der Beschwerdeführer seine Geschwindigkeit von 39 km/h nicht den Verhältnissen angepasst und die Ladung ungenügend gesichert hatte. In seinem Revisionsgesuch macht der Beschwerdeführer geltend, die Geschwindigkeit sei angepasst und die Ladung ausreichend gesichert gewesen. Dabei stützt er sich auf ein Privatgutachten, welches er in Auftrag gab, nachdem die Einsprachefrist abgelaufen und das Administrativmassnahmeverfahren in die Wege geleitet worden war. Der Beschwerdeführer hätte Einsprache erheben und diese Behauptungen im Verfahren nach Art. 355 und 356 StPO einbringen können. Denn im Strafbefehl vom 5. März 2015 wurde ja gerade beurteilt, ob die Geschwindigkeit angepasst und die Ladung hinreichend gesichert war. So bringt der Beschwerdeführer selbst vor, er habe bei der Entscheidung über die notwendigen Spanngurte eigens mit einer Marge gerechnet und deshalb deren zehn benutzt, weil er sich bewusst gewesen sei, dass es sich um eine heikle Ladung handelte (Beschwerde S. 9). Folglich waren ihm die angeblich neuen Tatsachen bereits vor Ablauf der Einsprachefrist bekannt (vgl. BGE 130 IV 72 E. 2.4 S. 76; Urteile 6B_172/2014 vom 28. April 2014 E. 4; 6B_54/2014 vom 24. April 2014 E. 4; 6B_310/2011 vom 20. Juni 2011 E. 1.5). Wie die Vorinstanz in ihrer Eventualbegründung zutreffend erwägt, ist nicht ersichtlich, weshalb der Beschwerdeführer von einer Einsprache absah und auf die Möglichkeit verzichtete, seine Einwände in einem gerichtlichen Verfahren einzubringen. Aus seinen Ausführungen geht einzig hervor, dass ihn das Administrativmassnahmeverfahren dazu bewog, weitere Abklärungen zu treffen. Unter diesen Umständen erscheint das Revisionsgesuch als Mittel, um den ordentlichen Rechtsweg zu umgehen, und ist damit rechtsmissbräuchlich. Da die Vorinstanz nicht auf das Revisionsgesuch hätte eintreten müssen, verletzt sie kein Bundesrecht, indem sie es mangels einer neuen Tatsache oder eines neuen Beweismittels abweist.</w:t>
      </w:r>
    </w:p>
    <w:p>
      <w:r>
        <w:rPr>
          <w:b/>
        </w:rPr>
        <w:t>E. 3</w:t>
      </w:r>
    </w:p>
    <w:p>
      <w:r>
        <w:t>Die Beschwerde ist abzuweisen, soweit darauf eingetreten werden kann. Die Gerichtskosten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