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6B_1323/2019 vom 13. Mai 2020</w:t>
      </w:r>
    </w:p>
    <w:p>
      <w:r>
        <w:t>Bundesgericht, 2020-05-13, DE</w:t>
      </w:r>
    </w:p>
    <w:p>
      <w:r>
        <w:rPr>
          <w:b/>
        </w:rPr>
        <w:t xml:space="preserve">Quelle: </w:t>
      </w:r>
      <w:r>
        <w:t>https://mcp.opencaselaw.ch/entscheid/bger_6B_1323_2019</w:t>
      </w:r>
    </w:p>
    <w:p>
      <w:r>
        <w:t>FR: TF 6B_1323/2019 du 13 mai 2020</w:t>
      </w:r>
    </w:p>
    <w:p>
      <w:r>
        <w:t>IT: TF 6B_1323/2019 del 13 maggio 2020</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S. 217; 126 V 283 E. 1; Urteil 6B_469/2019 vom 7. November 2019 E. 1). Diese Voraussetzungen sind vorliegend erfüllt. Es rechtfertigt sich daher, die Beschwerden gestützt auf Art. 71 BGG in sinngemässer Anwendung von Art. 24 Abs. 2 lit. b BZP zu vereinigen und in einem einzigen Entscheid zu beurteilen.</w:t>
      </w:r>
    </w:p>
    <w:p>
      <w:r>
        <w:rPr>
          <w:b/>
        </w:rPr>
        <w:t>E. 2.1</w:t>
      </w:r>
    </w:p>
    <w:p>
      <w:r>
        <w:t>Die Beschwerdeführer beanstanden mit identischen Beschwerdeschriften eine Verletzung des Anklagegrundsatzes. Der Tatbeitrag des Beschwerdeführers werde in der Anklageschrift nicht einzeln umschrieben. Er habe im Gegensatz zur Beschwerdeführerin kein Einkommen erzielt, welches anzugeben gewesen sei.</w:t>
      </w:r>
    </w:p>
    <w:p>
      <w:r>
        <w:rPr>
          <w:b/>
        </w:rPr>
        <w:t>E. 2.2</w:t>
      </w:r>
    </w:p>
    <w:p>
      <w:r>
        <w:t>Die Vorinstanz erwägt, die für die Beurteilung der Mittäterschaft relevanten Tatsachen würden in der Anklageschrift hinreichend umschrieben. So werde einleitend in allgemeiner Hinsicht ausgeführt, die Beschwerdeführer hätten aufgrund eines gemeinsamen Tatentschlusses gehandelt, und jeder von ihnen sei, sofern er nicht selbst gehandelt habe, mit den Handlungen des anderen einverstanden gewesen. In der Folge werde aufgezeigt, wie der Tatplan umgesetzt worden sei. Dabei würden einzelne Betrugsvorwürfe umschrieben, und hinsichtlich der aufgeführten "Budget SKOS" Formulare werde erwähnt, wer sie jeweils unterzeichnet habe. Immer sei vom "Ehepaar A.A.________ und A.B.________" die Rede, und beide Beschwerdeführer würden als Empfänger der Sozialhilfe dargestellt. Damit sei der Sachverhalt betreffend die Beteiligungsform genügend präzise umschrieben, so dass sich die Beschwerdeführer angemessen verteidigen konnten. Eine Verletzung des Anklagegrundsatzes sei nicht ersichtlich.</w:t>
      </w:r>
    </w:p>
    <w:p>
      <w:r>
        <w:rPr>
          <w:b/>
        </w:rPr>
        <w:t>E. 2.3</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je mit Hinweisen). Die beschuldigte Person muss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mit Hinweisen).</w:t>
      </w:r>
    </w:p>
    <w:p>
      <w:r>
        <w:rPr>
          <w:b/>
        </w:rPr>
        <w:t>E. 2.4</w:t>
      </w:r>
    </w:p>
    <w:p>
      <w:r>
        <w:t>Die Beschwerdeführer beschränken sich darauf, ihren im vorinstanzlichen Verfahren eingenommenen Standpunkt zu wiederholen und verzichten darauf, sich mit den vorinstanzlichen Erwägungen auseinanderzusetzen. Dieses Vorgehen genügt den Begründungsanforderungen nicht (vgl. Art. 42 Abs. 2 BGG ). Dem Einwand der Beschwerdeführer, der Tatbeitrag des Beschwerdeführers sei in Bezug auf die Mittäterschaft nicht oder zu wenig umschrieben, kann ohnedem nicht gefolgt werden. Aus der Anklageschrift ergeben sich ohne Weiteres die Tatbeiträge sowohl der Beschwerdeführerin als auch des Beschwerdeführers. Ihr ist beispielsweise zu entnehmen, wer welche Formulare unterzeichnet habe und auf wen welche Bankkonti lauteten. An anderer Stelle des angefochtenen Urteils erwägt die Vorinstanz zudem zu Recht, dass die Beschwerdeführer offenkundig übereingekommen seien, jeweils nicht alle Einkünfte anzugeben und beide von der Sozialhilfe profitiert hätten. Der Beschwerdeführer habe nie behauptet, von der Arbeitstätigkeit seiner Ehefrau nichts gewusst zu haben, eine entsprechende Behauptung wäre denn auch lebensfremd (vgl. angefochtenes Urteil, E. IV. 4.2 S. 16). Der Beschwerdeführer konnte aus der Anklageschrift jedenfalls ersehen, was ihm vorgeworfen wird und sich entsprechend verteidigen. Inwiefern dies nicht möglich gewesen sein soll, erklären die Beschwerdeführer nicht. Die Vorinstanz verletzt deshalb kein Bundesrecht, wenn sie den Anklagegrundsatz als gewahrt erachtet.</w:t>
      </w:r>
    </w:p>
    <w:p>
      <w:r>
        <w:rPr>
          <w:b/>
        </w:rPr>
        <w:t>E. 3.1</w:t>
      </w:r>
    </w:p>
    <w:p>
      <w:r>
        <w:t>Die Beschwerdeführer rügen weiter eine Verletzung von Art. 146 StGB . Sie bringen vor, es fehle Ihnen an einer Garantenstellung. Wenn man von einer Tatbegehung durch aktives Tun ausgehe, so liege eine einfache Lüge vor. Sie hätten nicht arglistig gehandelt. Der Sozialdienst der Stadt Zug hätte anhand eines Auszugs aus dem individuellen Konto der Ausgleichskasse die Einkommen einfach feststellen können. Der von der Vorinstanz festgestellte Sachverhalt sei ausserdem insofern zu ergänzen, als im Anmeldeformular für Sozialhilfe geschrieben stehe, die Angaben der Beschwerdeführer würden von einem Detektivunternehmen überprüft. Eine Vertrauensverhältnis habe nicht bestanden.</w:t>
      </w:r>
    </w:p>
    <w:p>
      <w:r>
        <w:rPr>
          <w:b/>
        </w:rPr>
        <w:t>E. 3.2</w:t>
      </w:r>
    </w:p>
    <w:p>
      <w:r>
        <w:t>Die Vorinstanz erachtet das Verhalten der Beschwerdeführer als arglistig. Sie erwägt, diese seien sowohl in den Anmeldeformularen als auch in den zu beurteilenden "Budget SKOS" Formularen gehörig über ihre Mitwirkungspflicht aufgeklärt worden. Angesichts dieser Pflicht zur vollständigen und wahrheitsgetreuen Auskunftserteilung könne Arglist grundsätzlich auch bei einfachen falschen Angaben vorliegen. Der Sozialdienst habe sie zur Einreichung aller aus seiner Sicht notwendigen Unterlagen aufgefordert. Er habe diese auch geprüft und grundsätzlich darauf vertrauen dürfen, dass die Angaben der mitwirkungspflichtigen Beschwerdeführer entsprechend den unterschriftlichen Bestätigungen wahrheitsgetreu sowie vollständig seien. Eine Pflicht, aktiv nach Einkommensquellen zu forschen, habe nicht bestanden. Weitere Abklärungen seien nur angezeigt und damit zumutbar gewesen, wenn klare, konkrete Anhaltspunkte dafür bestanden hätten, dass die Beschwerdeführerin neben den deklarierten Arbeitsstellen noch weitere Anstellungen mit entsprechendem Einkommen inne haben könnte. Solche Anhaltspunkte haben indessen nicht vorgelegen. Es komme hinzu, dass das verheimlichte Konto ohnehin nicht leicht zu entdecken gewesen wäre. Soweit die Beschwerdeführer vorbringen, es wäre für den Sozialdienst ohne Weiteres möglich gewesen, bei der Ausgleichskasse einen Auszug aus dem individuellen Konto beizuziehen, auf dem alle Einkommensbestandteile und Arbeitgeber verzeichnet gewesen wären, sei ihnen entgegenzuhalten, es habe keinen hinreichenden Grund gegeben, ihnen zu misstrauen. Im Gegenteil habe eine Zeugin glaubhaft erklärt, sie habe mit den Beschwerdeführern ein gutes Verhältnis gehabt, weshalb sie die Nichtdeklaration sehr überrascht habe. Lediglich die den verschiedenen Rückzahlungsvereinbarungen aus dem Jahr 2010 zugrunde liegenden Sachverhalte hätten allenfalls einen gewissen Verdacht begründen können, dass die Angaben der Beschwerdeführer nicht immer verlässlich gewesen seien. Zu beachten sei indessen, dass Arglist nur ausscheide, wenn die Sozialbehörde die grundlegendsten Vorsichtsmassnahmen nicht beachtet habe, was vorliegend nicht der Fall sei (vgl. angefochtenes Urteil, E. IV. 5.1 S. 17).</w:t>
      </w:r>
    </w:p>
    <w:p>
      <w:r>
        <w:rPr>
          <w:b/>
        </w:rPr>
        <w:t>E. 3.3</w:t>
      </w:r>
    </w:p>
    <w:p>
      <w:r>
        <w:t>Gemäss Art. 146 Abs. 1 StGB macht sich des Betruges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Angriffsmittel beim Betrug ist die Täuschung des Opfers. Als Täuschung gilt jedes Verhalten, das darauf gerichtet ist, bei einem andern eine von der Wirklichkeit abweichende Vorstellung hervorzurufen ( BGE 140 IV 11 E. 2.3.2 S. 14; 135 IV 76 E. 5.1 S. 78).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142 IV 153 E. 2.2.2 S. 154 f.; 135 IV 76 E. 5.2 S. 79 ff. mit Hinweisen).</w:t>
      </w:r>
    </w:p>
    <w:p>
      <w:r>
        <w:t>Dies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diese Unterlagen keine oder voraussichtlich keine Hinweise auf nicht deklarierte Einkommens- und Vermögenswerte enthalten (Urteile 6B_152/2020 vom 1. April 2020 E. 3.2; 6B_576/2010 vom 25. Januar 2011 E. 4.1.2, publiziert in: SJ 2011 I S. 288; 6B_1437/2017 vom 6. November 2018 E. 1.2; je mit Hinweisen).</w:t>
      </w:r>
    </w:p>
    <w:p>
      <w:r>
        <w:rPr>
          <w:b/>
        </w:rPr>
        <w:t>E. 3.4</w:t>
      </w:r>
    </w:p>
    <w:p>
      <w:r>
        <w:t>Der Einwand der Beschwerdeführer, es fehle ihnen an einer Garantenstellung, ist unbehelflich, denn die Vorinstanz bestraft sie wegen Tatbegehung durch aktives Tun. Ein Betrug durch Unterlassung falle nach Ansicht der Vorinstanz von vornherein ausser Betracht (vgl. angefochtenes Urteil, E. III. E. 2.6 S. 13). Die Frage des Vorliegens einer Garantenstellung wäre jedoch bloss für die Strafbarkeit einer solchen Tatbegehung relevant und die Beschwerdeführer rügen nicht, dass sie die ihnen vorgeworfenen Taten nicht aktiv, sondern durch Unterlassung begangen hätten. Das Bundesgericht ist sodann kein Berufungsgericht und prüft unter dem Titel von Art. 106 Abs. 1 BGG betreffend die Rechtsanwendung von Amtes wegen grundsätzlich nur die erhobenen Rügen, es sei denn, die rechtlichen Mängel lägen geradezu auf der Hand ( BGE 142 I 99 E. 1.7.1 S. 106; 140 III 115 E. 2 S. 116). Vor diesem Hintergrund und angesichts der vorinstanzlichen Feststellung, wonach die Beschwerdeführer auf den "Budget SKOS" Formularen jeweils handschriftlich bestätigten, keine weiteren Einnahmen zu erzielen und nur über das bei der Anmeldung für Sozialhilfe deklarierte Vermögen zu verfügen (vgl. kant. Akten, act. 1/9/27 ff.), ist die Beurteilung der Tatbegehung durch aktives Tun nicht zu beanstanden.</w:t>
      </w:r>
    </w:p>
    <w:p>
      <w:r>
        <w:t>Die Vorinstanz begründet im Weiteren ausführlich, weshalb sie die aktiv begangenen Täuschungen der Beschwerdeführer als arglistig im Sinne von Art. 146 Abs. 1 StGB qualifiziert (vgl. E. 2.2 hiervor). Inwiefern diese Erwägungen Bundesrecht verletzen, legen die Beschwerdeführer nicht dar, soweit sie sich überhaupt ausreichend mit dem angefochtenen Entscheid auseinandersetzen und auf ihre Beschwerde eingetreten werden kann (vgl. Art. 42 Abs. 2 BGG ). Insbesondere zeigen sie nicht auf und ist nicht ersichtlich, dass für die Sozialdienste Hinweise auf ein höheres Einkommen der Beschwerdeführerin bestanden hätten. Die Sozialdienste handelten folglich nicht geradezu leichtfertig, indem sie es unterliessen, für die genauere Abklärung der Einkommens- und Vermögensverhältnisse zusätzliche Unterlagen einzufordern oder das Einkommen der Beschwerdeführerin konkret anhand eines Auszugs aus deren individuellem Konto der Ausgleichskasse zu überprüfen. Die Beschwerdeführer erläutern denn auch nicht, inwiefern ein solcher Auszug jeweils für die aktuellen und nicht bloss für vergangene Einkommensverhältnisse aufschlussreich gewesen wäre.</w:t>
      </w:r>
    </w:p>
    <w:p>
      <w:r>
        <w:t>Im Übrigen dürfen neue Tatsachen und Beweismittel vor Bundesgericht nur soweit vorgebracht werden, als erst der Entscheid der Vorinstanz dazu Anlass gibt ( Art. 99 Abs. 1 BGG ), was in der Beschwerde näher darzulegen ist ( BGE 143 V 19 E. 1.2 S. 22 f. mit Hinweis). Dies tun die Beschwerdeführer bezogen auf die von ihnen angestrebte Ergänzung des vorinstanzlich festgestellten Sachverhalts nicht. Ohnehin verfängt ihr diesbezüglich vorgebrachtes Argument nicht. Auch dem eingereichten Anmeldeformular für Sozialhilfe ist entgegen der Interpretation der Beschwerdeführer vielmehr zu entnehmen, dass die Sozialbehörde davon ausgehe, die Angaben und Dokumente im Zusammenhang mit der Anmeldung zum Bezug von Sozialhilfe seien vollständig und wahr und das im Anmeldeformular bezeichnete Unternehmen werde eben gerade bloss in konkreten Verdachtsfällen in Anspruch genommen (vgl. Beschwerdebeilage 2, S. 24). Folglich verletzt die Vorinstanz kein Bundesrecht, wenn sie die Täuschungen der Beschwerdeführer gegenüber dem Sozialdienst als arglistig erachtet.</w:t>
      </w:r>
    </w:p>
    <w:p>
      <w:r>
        <w:rPr>
          <w:b/>
        </w:rPr>
        <w:t>E. 4.1</w:t>
      </w:r>
    </w:p>
    <w:p>
      <w:r>
        <w:t>Die Beschwerdeführer machen schliesslich einen Verbotsirrtum im Sinne von Art. 21 StGB geltend. Sie seien davon ausgegangen, es sei erlaubt, Schulden zurückzubezahlen. Darüber, dass sie den dafür verwendeten Arbeitsverdienst hätten angeben müssen, seien sie von der Gemeinde nicht aufgeklärt worden. Es müsse auch dem von der Sozialhilfe unterstützten Schuldner möglich sein, seinen Verpflichtungen nachzukommen.</w:t>
      </w:r>
    </w:p>
    <w:p>
      <w:r>
        <w:rPr>
          <w:b/>
        </w:rPr>
        <w:t>E. 4.2</w:t>
      </w:r>
    </w:p>
    <w:p>
      <w:r>
        <w:t>Die Vorinstanz erwägt, abgesehen davon, dass die Beschwerdeführer mit ihrer Unterschrift in den Anmeldeformularen bestätigten, sie hätten insbesondere von der Pflicht Kenntnis genommen, alle Einkünfte gegenüber dem Sozialdienst unaufgefordert und umgehend zu deklarieren, habe ihnen bereits zuvor klar gewesen sein müssen, dass alle Einkommensbestandteile anzugeben und die entsprechenden Belege einzureichen seien. In einem Sozialhilfeverfahren erscheine dies als Selbstverständlichkeit. Ein besonderes Wissen oder gar Gesetzeskenntnis sei hierzu nicht erforderlich. Daran ändere die Verwendung des nicht deklarierten Einkommens zur Tilgung von Schulden gegenüber Verwandten und nahestehenden Personen nichts. Zur Schuldensanierung sei die wirtschaftliche Sozialhilfe nicht gedacht. Soweit die Beschwerdeführer vorbrächten, dies nicht gewusst zu haben und somit einem Verbotsirrtum unterlegen zu sein, könnten sie nicht gehört werden. Nebst den Erklärungen auf den Formularen seien sie auch gemäss den glaubhaften Aussagen einer Zeugin konkret darauf hingewiesen worden, dass die Rückzahlung von Schulden während laufender wirtschaftlicher Sozialhilfe nicht möglich sei. Von einem Verbotsirrtum könne mithin keine Rede sein (vgl. angefochtenes Urteil, E. IV. 6.1 S. 20)</w:t>
      </w:r>
    </w:p>
    <w:p>
      <w:r>
        <w:rPr>
          <w:b/>
        </w:rPr>
        <w:t>E. 4.3.1</w:t>
      </w:r>
    </w:p>
    <w:p>
      <w:r>
        <w:t>Gemäss Art. 21 Satz 1 StGB handelt nicht schuldhaft, wer bei Begehung der Tat nicht weiss und nicht wissen kann, dass er sich rechtswidrig verhält, er mithin irrtümlich und aus zureichenden Gründen annimmt, sein Tun sei erlaubt. Ein Verbotsirrtum ist ausgeschlossen, wenn der Täter aufgrund seiner laienhaften Einschätzung weiss, dass sein Verhalten der Rechtsordnung widerspricht, wenn er also in diesem Sinne das unbestimmte Empfinden hat, etwas Unrechtes zu tun (vgl. BGE 130 IV 77 E. 2.4; Urteile 6B_1207/2018 vom 17. Mai 2019 E. 3.3 [nicht publiziert in BGE 145 IV 185 ]; 6B_77/2019 vom 11. Februar 2019 E. 2.1 [nicht publiziert in BGE 145 IV 17 ]; 6B_804/2018 vom 4. Dezember 2018 E. 3.2; 6B_1032/2017 vom 1. Juni 2018 E. 5.4; je mit Hinweisen). Hält der Täter sein Verhalten bloss für nicht strafbar, erliegt er einem unbeachtlichen Subsumtionsirrtum ( BGE 129 IV 238 E. 3.2.2).</w:t>
      </w:r>
    </w:p>
    <w:p>
      <w:r>
        <w:t>Ob der Täter weiss, dass sein Verhalten der Rechtsordnung widerspricht resp. er ein unbestimmtes Empfinden hat, etwas Unrechtes zu tun, ist eine Sachverhaltsfrage ( BGE 141 IV 336 E. 2.4.3 mit Hinweis). Rechtsfrage ist, ob der Irrtum vermeidbar war (Urteil 6B_505/2018 vom 3. Mai 2019 E. 3.2 mit Hinweisen).</w:t>
      </w:r>
    </w:p>
    <w:p>
      <w:r>
        <w:rPr>
          <w:b/>
        </w:rPr>
        <w:t>E. 4.3.2</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143 IV 241 E. 2.3.1; je mit Hinweisen). Erforderlich ist, dass der Entscheid nicht nur in der Begründung, sondern auch im Ergebnis willkürlich ist ( BGE 141 IV 305 E. 1.2 mit Hinweisen). 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145 IV 154 E. 1.1 S. 156; 143 IV 500 E. 1.1; 143 IV 347 E. 4.4; je mit Hinweisen).</w:t>
      </w:r>
    </w:p>
    <w:p>
      <w:r>
        <w:rPr>
          <w:b/>
        </w:rPr>
        <w:t>E. 4.4</w:t>
      </w:r>
    </w:p>
    <w:p>
      <w:r>
        <w:t>Der Einwand der Beschwerdeführer geht fehl. Zwar stellt die Vorinstanz fest, sie hätten das nicht deklarierte Einkommen zur Tilgung von Schulden gegenüber Verwandten und nahestehenden Personen verwendet (vgl. angefochtenes Urteil, E. III. 1. S. 9). Die konkrete Verwendung des nicht deklarierten Einkommens bleibt für den Betrugstatbestand jedoch ohne Belang. Entscheidwesentlich ist, dass die Beschwerdeführer mehrfach erklärten, keine weiteren Einnahmen als die von ihnen angegebenen zu erzielen sowie ausschliesslich über das bei der Anmeldung für Sozialhilfe angegebene Vermögen zu verfügen und es dadurch zu ungerechtfertigten Auszahlungen von wirtschaftlicher Sozialhilfe kam (vgl. angefochtenes Urteil, E. IV. 1. S. 14). Die Beschwerdeführer argumentieren daher an der Sache vorbei und belegen keine Willkür in der vorinstanzlichen Sachverhaltsfeststellung, wonach sie anhand der Formulare sowie eines konkreten Hinweises darauf aufmerksam gemacht worden waren, mit anderen Worten wussten, dass sie sämtliche Einnahmen zu deklarieren hatten. Demzufolge verletzt die Vorinstanz kein Bundesrecht, wenn sie das Vorliegen eines Verbotsirrtums verneint.</w:t>
      </w:r>
    </w:p>
    <w:p>
      <w:r>
        <w:rPr>
          <w:b/>
        </w:rPr>
        <w:t>E. 5</w:t>
      </w:r>
    </w:p>
    <w:p>
      <w:r>
        <w:t>Die Beschwerden sind abzuweisen. Bei diesem Ausgang haben die Beschwerdeführer die Gerichtskosten zu tragen ( Art. 66 Abs. 1 BGG ). Ihre Gesuche um unentgeltliche Rechtspflege sind in Anwendung von Art. 64 BGG wegen Aussichtslosigkeit abzuweisen. Ihrer finanziellen Lage ist mit reduzierten Gerichtskosten Rechnung zu tragen ( Art. 65 Abs. 2 BGG ). Diese sind den Beschwerdeführern zu gleichen Teilen unter solidarischer Haftung für den ganzen Betrag aufzuerlegen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