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1322/2016 vom 16. Januar 2017</w:t>
      </w:r>
    </w:p>
    <w:p>
      <w:r>
        <w:t>Bundesgericht, 2017-01-16, FR</w:t>
      </w:r>
    </w:p>
    <w:p>
      <w:r>
        <w:rPr>
          <w:b/>
        </w:rPr>
        <w:t xml:space="preserve">Quelle: </w:t>
      </w:r>
      <w:r>
        <w:t>https://mcp.opencaselaw.ch/entscheid/bger_6B_1322_2016</w:t>
      </w:r>
    </w:p>
    <w:p>
      <w:r>
        <w:t>FR: TF 6B 1322/2016 du 16 janvier 2017</w:t>
      </w:r>
    </w:p>
    <w:p>
      <w:r>
        <w:t>IT: TF 6B 1322/2016 del 16 gennaio 2017</w:t>
      </w:r>
    </w:p>
    <w:p>
      <w:pPr>
        <w:pStyle w:val="Heading2"/>
      </w:pPr>
      <w:r>
        <w:t>Regeste</w:t>
      </w:r>
    </w:p>
    <w:p>
      <w:r>
        <w:t>Ordonannce de nomination d'avocat d'office, recours en matière pénale au Tribunal fédéral, motivation | Exécution des peines et des mesures</w:t>
      </w:r>
    </w:p>
    <w:p>
      <w:pPr>
        <w:pStyle w:val="Heading2"/>
      </w:pPr>
      <w:r>
        <w:t>Erwägungen</w:t>
      </w:r>
    </w:p>
    <w:p>
      <w:r>
        <w:rPr>
          <w:b/>
        </w:rPr>
        <w:t>E. 1.1</w:t>
      </w:r>
    </w:p>
    <w:p>
      <w:r>
        <w:t>Par arrêt du 16 novembre 2016, la Chambre pénale de recours de la Cour de justice genevoise a rejeté, dans la mesure où il était recevable, le recours interjeté par X.________ contre la décision de nomination d'avocat d'office rendue le 20 octobre 2016 par le Tribunal d'application des peines et des mesures.</w:t>
      </w:r>
    </w:p>
    <w:p>
      <w:r>
        <w:rPr>
          <w:b/>
        </w:rPr>
        <w:t>E. 1.2</w:t>
      </w:r>
    </w:p>
    <w:p>
      <w:r>
        <w:t>Le 22 novembre 2016, X.________ a interjeté un recours en matière pénale au Tribunal fédéral contre l'arrêt cantonal. Le 25 novembre suivant, le Président de la Cour de céans lui a indiqué que le délai de recours n'avait pas encore expiré et qu'il pouvait compléter son écriture jusqu'à cette échéance. S'il entendait en outre bénéficier de l'assistance d'un mandataire d'office, il lui appartenait de recourir aux services d'un avocat et, par l'intermédiaire de ce dernier, de déposer, au plus tard à l'échéance du délai de recours, un mémoire dûment motivé et assorti d'une demande d'assistance judiciaire. X.________ n'a donné aucune suite à l'ordonnance présidentielle.</w:t>
      </w:r>
    </w:p>
    <w:p>
      <w:r>
        <w:rPr>
          <w:b/>
        </w:rPr>
        <w:t>E. 1.3</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 En l'espèce, le recourant se contente d'exprimer son intention de recourir au Tribunal fédéral contre l'arrêt cantonal susmentionné et de présenter une liste d'avocats de son choix. Sans autre motivation, son écriture ne répond manifestement pas aux exigences formelles d'un recours en matière pénale au Tribunal fédéral. Elle est par conséquent irrecevable et doit être écartée en application de la procédure simplifiée prévue à l' art. 108 al. 1 let. b LTF .</w:t>
      </w:r>
    </w:p>
    <w:p>
      <w:r>
        <w:rPr>
          <w:b/>
        </w:rPr>
        <w:t>E. 2</w:t>
      </w:r>
    </w:p>
    <w:p>
      <w:r>
        <w:t>L'arrêt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