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131/2017 vom 9. Februar 2017</w:t>
      </w:r>
    </w:p>
    <w:p>
      <w:r>
        <w:t>Bundesgericht, 2017-02-09, DE</w:t>
      </w:r>
    </w:p>
    <w:p>
      <w:r>
        <w:rPr>
          <w:b/>
        </w:rPr>
        <w:t xml:space="preserve">Quelle: </w:t>
      </w:r>
      <w:r>
        <w:t>https://mcp.opencaselaw.ch/entscheid/bger_6B_131_2017</w:t>
      </w:r>
    </w:p>
    <w:p>
      <w:r>
        <w:t>FR: TF 6B 131/2017 du 9 février 2017</w:t>
      </w:r>
    </w:p>
    <w:p>
      <w:r>
        <w:t>IT: TF 6B 131/2017 del 9 febbraio 2017</w:t>
      </w:r>
    </w:p>
    <w:p>
      <w:pPr>
        <w:pStyle w:val="Heading2"/>
      </w:pPr>
      <w:r>
        <w:t>Regeste</w:t>
      </w:r>
    </w:p>
    <w:p>
      <w:r>
        <w:t>Einsprache gegen Strafbefehl | Strafprozess</w:t>
      </w:r>
    </w:p>
    <w:p>
      <w:pPr>
        <w:pStyle w:val="Heading2"/>
      </w:pPr>
      <w:r>
        <w:t>Erwägungen</w:t>
      </w:r>
    </w:p>
    <w:p>
      <w:r>
        <w:rPr>
          <w:b/>
        </w:rPr>
        <w:t>E. 1</w:t>
      </w:r>
    </w:p>
    <w:p>
      <w:r>
        <w:t>Die Staatsanwaltschaft des Kantons Schaffhausen bestrafte den Beschwerdeführer mit Strafbefehl vom 15. Dezember 2014 wegen Widerhandlungen gegen das SVG etc., wogegen dieser Einsprache erhob. Die Staatsanwaltschaft lud den Beschwerdeführer daraufhin zu einer Einvernahme vor. Da dieser zur Einvernahme nicht erschien, trat die Staatsanwaltschaft mit Verfügung von 16. September 2015 in Anwendung von Art. 355 Abs. 2 und Art. 354 Abs. 3 StPO auf die Einsprache nicht ein und erklärte den Strafbefehl für rechtskräftig. Eine dagegen gerichtete Beschwerde wies das Obergericht des Kantons Schaffhausen am 20. Dezember 2016 ab. Der Beschwerdeführer wendet sich unmittelbar vor Ablauf der Beschwerdefrist mit Eingabe vom 29. Januar 2017 (Poststempel) an das Bundesgericht.</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 Art. 42 Abs. 2 BGG ). Die Eingabe des Beschwerdeführers an das Bundesgericht genügt den Anforderungen von Art. 42 Abs. 1 und 2 BGG nicht. Sie enthält weder Begehren im Sinne von Art. 42 Abs. 1 BGG noch eine Begründung (vgl. zu den Beschwerdegründen Art. 95 ff. BGG ). Aus der Beschwerde ergibt sich mithin nicht im Ansatz, inwiefern der angefochtene Entscheid gegen das Recht im Sinne von Art. 95 BGG verstossen könnte. Auf die Beschwerde ist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