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6B_131/2015 vom 15. Januar 2016</w:t>
      </w:r>
    </w:p>
    <w:p>
      <w:r>
        <w:t>Bundesgericht, 2016-01-15, FR</w:t>
      </w:r>
    </w:p>
    <w:p>
      <w:r>
        <w:rPr>
          <w:b/>
        </w:rPr>
        <w:t xml:space="preserve">Quelle: </w:t>
      </w:r>
      <w:r>
        <w:t>https://mcp.opencaselaw.ch/entscheid/bger_6B_131_2015</w:t>
      </w:r>
    </w:p>
    <w:p>
      <w:r>
        <w:t>FR: TF 6B_131/2015 du 15 janvier 2016</w:t>
      </w:r>
    </w:p>
    <w:p>
      <w:r>
        <w:t>IT: TF 6B_131/2015 del 15 gennaio 2016</w:t>
      </w:r>
    </w:p>
    <w:p>
      <w:pPr>
        <w:pStyle w:val="Heading2"/>
      </w:pPr>
      <w:r>
        <w:t>Erwägungen</w:t>
      </w:r>
    </w:p>
    <w:p>
      <w:r>
        <w:rPr>
          <w:b/>
        </w:rPr>
        <w:t>E. 1</w:t>
      </w:r>
    </w:p>
    <w:p>
      <w:r>
        <w:t>Déposée après l'échéance du délai de recours ( art. 100 al. 1 LTF ), l'écriture du 2 juin 2015 est tardive et, partant, irrecevable.</w:t>
      </w:r>
    </w:p>
    <w:p>
      <w:r>
        <w:rPr>
          <w:b/>
        </w:rPr>
        <w:t>E. 2</w:t>
      </w:r>
    </w:p>
    <w:p>
      <w:r>
        <w:t>En vertu de l' art. 42 al. 1 LTF , il incombe à la partie recourante d'alléguer les faits qu'elle considère comme propres à fonder sa qualité pour recourir ( ATF 141 IV 1 consid. 1.1 p. 4). Si elle entend se plaindre de la violation de ses droits fondamentaux, elle doit respecter le principe d'allégation et indiquer précisément quelle disposition a été violée en démontrant par une argumentation précise en quoi consiste la violation ( art. 106 al. 2 LTF ; ATF 140 III 264 consid. 2.3 p. 266).</w:t>
      </w:r>
    </w:p>
    <w:p>
      <w:r>
        <w:rPr>
          <w:b/>
        </w:rPr>
        <w:t>E. 2.1</w:t>
      </w:r>
    </w:p>
    <w:p>
      <w:r>
        <w:t>Le recourant reconnaît ne pas pouvoir fonder sa qualité pour recourir sur l'art. 81 al. 1 let. b ch. 5 LTF dans la mesure où il ne peut faire valoir de prétentions civiles. L'hypothèse visée à l'art. 81 al. 1 let. b ch. 6 LTF n'entre pas non plus en considération puisque la contestation ne porte pas sur le droit de porter plainte du recourant.</w:t>
      </w:r>
    </w:p>
    <w:p>
      <w:r>
        <w:rPr>
          <w:b/>
        </w:rPr>
        <w:t>E. 2.2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2.2.1</w:t>
      </w:r>
    </w:p>
    <w:p>
      <w:r>
        <w:t>Le recourant invoque un déni de justice ( art. 29 al. 1 Cst. ). Selon lui, la cour cantonale aurait omis de statuer sur l'un des griefs portés devant elle, à savoir une violation de l' art. 6 par. 1 CEDH découlant de l'absence d'indépendance du commandant remplaçant désigné pour enquêter sur l'affaire pénale impliquant notamment son supérieur hiérarchique, le commandant de la police cantonale.</w:t>
      </w:r>
    </w:p>
    <w:p>
      <w:r>
        <w:t>L' art. 6 par. 1 CEDH prescrit que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 Cette disposition vise, dans le cadre d'une procédure pénale, la personne accusée, et non celui qui accuse autrui ( ATF 134 IV 297 consid. 4.3.5 p. 306; arrêt 6B_479/2013 du 30 janvier 2014 consid. 3.1; MARK E. VILLIGER, Handbuch der Europäischen Menschenrechtskonvention [EMRK], 2ème éd., 1999, §18 n. 392). Il n'y a, partant, pas lieu de faire grief à la cour cantonale de ne pas avoir discuté l'application d'une norme que le recourant, en sa qualité de partie plaignante, n'était pas recevable à invoquer. Au demeurant, la cour cantonale a répondu au reproche du recourant en exposant en quoi la désignation par le procureur du commandant-remplaçant pour le renseigner sur d'éventuelles interventions de la police au domicile du recourant ne prêtait pas le flanc à la critique, sans que le recourant ne discute cette réponse. Il s'ensuit que le grief de déni de justice ne saurait fonder la qualité pour agir du recourant.</w:t>
      </w:r>
    </w:p>
    <w:p>
      <w:r>
        <w:rPr>
          <w:b/>
        </w:rPr>
        <w:t>E. 2.2.2</w:t>
      </w:r>
    </w:p>
    <w:p>
      <w:r>
        <w:t>Dans un autre moyen, le recourant soutient qu'en expédiant l'ordonnance attaquée par courrier interne à A.________, B.________, C.________ et D.________, ainsi qu'au Procureur général, la cour cantonale n'aurait pas satisfait aux exigences minimales d'indépendance imposées par les art. 6 par. 1 CEDH et 30 al. 1 Cst.</w:t>
      </w:r>
    </w:p>
    <w:p>
      <w:r>
        <w:t>Comme vu ci-dessus, l' art. 6 par. 1 CEDH est inapplicable à la partie plaignante, de sorte que le recourant n'est pas légitimé à se prévaloir de cette disposition. En tous les cas, dans la mesure où le recourant se limite à se plaindre de la manière dont la décision a été notifiée sans indiquer en quoi celle-ci aurait été prise en violation des garanties qu'il invoque, il ne satisfait pas aux exigences de motivation accrues déduites de l' art. 106 al. 2 LTF ( supra consid. 2). Sa critique est ainsi irrecevable.</w:t>
      </w:r>
    </w:p>
    <w:p>
      <w:r>
        <w:rPr>
          <w:b/>
        </w:rPr>
        <w:t>E. 2.2.3</w:t>
      </w:r>
    </w:p>
    <w:p>
      <w:r>
        <w:t>Le recourant semble également faire valoir que le droit à une enquête prompte, impartiale, officielle, approfondie et effective lui aurait été dénié à tort.</w:t>
      </w:r>
    </w:p>
    <w:p>
      <w:r>
        <w:t>L' art. 3 CEDH , combiné avec l'art. 1 ou avec l' art. 13 CEDH , implique que tout individu qui prétend de manière défendable avoir été traité de façon inhumaine ou dégradante par un ou plusieurs agents de la force publique a droit à une enquête prompte, impartiale, officielle, approfondie et effective ( ATF 138 IV 86 consid. 3.1.1 p. 88). Or, comme la cour cantonale l'a constaté, l' art. 3 CEDH n'est pas applicable dans le cas d'espèce car le seuil minimum de gravité requis par cette disposition n'est pas atteint s'agissant de l'allégation de violation de domicile (cf. arrêt 1B_281/2013 du 14 février 2014 consid. 1.2.1; 1B_559/2012 du 4 décembre 2012 consid. 1.2.3). Il s'ensuit que le recourant ne peut fonder son droit de recours sur une prétendue violation de cette disposition.</w:t>
      </w:r>
    </w:p>
    <w:p>
      <w:r>
        <w:rPr>
          <w:b/>
        </w:rPr>
        <w:t>E. 2.3</w:t>
      </w:r>
    </w:p>
    <w:p>
      <w:r>
        <w:t>Il ne découle de l'argumentation du recourant aucun autre grief recevable (cf. art. 42 al. 2 LTF et 106 al. 2 LTF) susceptible de fonder sa qualité pour recourir. Partant, le recours doit être déclaré irrecevable.</w:t>
      </w:r>
    </w:p>
    <w:p>
      <w:r>
        <w:rPr>
          <w:b/>
        </w:rPr>
        <w:t>E. 3</w:t>
      </w:r>
    </w:p>
    <w:p>
      <w:r>
        <w:t>Comme les conclusions du recours étaient dépourvues de chances de succès, l'assistance judiciaire ne peut être accordée ( art. 64 al. 1 LTF ). Le recourant supporte les frais judiciaires ( art. 66 al. 1 LTF ), dont le montant est arrêté au regard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