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6B_1319/2015 vom 26. Mai 2016</w:t>
      </w:r>
    </w:p>
    <w:p>
      <w:r>
        <w:t>Bundesgericht, 2016-05-26, DE</w:t>
      </w:r>
    </w:p>
    <w:p>
      <w:r>
        <w:rPr>
          <w:b/>
        </w:rPr>
        <w:t xml:space="preserve">Quelle: </w:t>
      </w:r>
      <w:r>
        <w:t>https://mcp.opencaselaw.ch/entscheid/bger_6B_1319_2015</w:t>
      </w:r>
    </w:p>
    <w:p>
      <w:r>
        <w:t>FR: TF 6B_1319/2015 du 26 mai 2016</w:t>
      </w:r>
    </w:p>
    <w:p>
      <w:r>
        <w:t>IT: TF 6B_1319/2015 del 26 maggio 2016</w:t>
      </w:r>
    </w:p>
    <w:p>
      <w:pPr>
        <w:pStyle w:val="Heading2"/>
      </w:pPr>
      <w:r>
        <w:t>Erwägungen</w:t>
      </w:r>
    </w:p>
    <w:p>
      <w:r>
        <w:rPr>
          <w:b/>
        </w:rPr>
        <w:t>E. 1.1</w:t>
      </w:r>
    </w:p>
    <w:p>
      <w:r>
        <w:t>Die Beschwerdeführerin macht geltend, die Vorinstanz habe sich zur Begründung des Freispruchs ausschliesslich auf Aussagen gestützt, die der Beschwerdegegner im Rahmen des letzten Wortes ( Art. 347 Abs. 1 StPO ) gemacht habe. Derartige Äusserungen seien unverwertbar, zumal Privatklägerschaft und Staatsanwaltschaft zu diesem Zeitpunkt keine Möglichkeit mehr hätten, dazu Stellung zu nehmen.</w:t>
      </w:r>
    </w:p>
    <w:p>
      <w:r>
        <w:rPr>
          <w:b/>
        </w:rPr>
        <w:t>E. 1.2</w:t>
      </w:r>
    </w:p>
    <w:p>
      <w:r>
        <w:t>Die Vorinstanz stützt sich auf eine in der Literatur vertretenen Meinung, wonach beweisrelevante Äusserungen oder Geständnisse im Rahmen des letztes Wortes prozessual nicht verwertbar seien, aber zur Beweisergänzung gestützt auf Art. 349 StPO führen können (GUT/FINGERHUT, in: Donatsch/Hansjakob/Lieber, Kommentar zur Schweizerischen Strafprozessordnung, 2. Aufl. 2014, N. 3 zu Art. 347 StPO ). Zur Begründung verweisen die Autoren auf die Urteile 6B_805/2011 vom 12. Juli 2012 und 6P.11/2001 vom 18. September 2001, in welchen das Bundesgericht erwägt, dass das letzte Wort dem Angeklagten ermögliche, nach formellem Abschluss des Beweisverfahrens zur Anklage Stellung zu nehmen. Das Gericht solle unter dem Eindruck des Schlusswortes in die Beratung gehen. Neue Beweisanträge soll der Angeklagte in diesem Verfahrensabschnitt jedoch grundsätzlich nicht mehr stellen können (Urteile 6B_805/2011 vom 12. Juli 2012 E. 4.3.2; 6P.11/2001 vom 18. September 2001 E. 2b/bb). Diese Entscheide sind in Anwendung des damals noch kantonalen Prozessrechts ergangen. Ihnen ist nicht zu entnehmen, dass Aussagen im Rahmen des Schlusswortes nicht verwertbar sein sollen. Auch sind keine Gründe ersichtlich, inwiefern dies der Fall sein soll. Nicht zu hören ist die Beschwerdeführerin, wenn sie geltend macht, die Privatklägerschaft oder die Staatsanwaltschaft könne zu diesem Zeitpunkt zu den Aussagen der angeklagten Person nicht mehr Stellung nehmen. Es ist Aufgabe des urteilenden Gerichts, den Parteien das rechtliche Gehör zu gewähren, und die Beschwerdeführerin legt nicht dar, inwiefern dieses im vorliegenden Fall verletzt worden sei. Der Beschwerdegegner hat im Rahmen seines Schlusswortes keine Beweisanträge gestellt, weshalb die Frage offenbleiben kann, ob solche unter der Herrschaft der am 1. Januar 2011 in Kraft getretenen Schweizerischen Strafprozessordnung zulässig sind.</w:t>
      </w:r>
    </w:p>
    <w:p>
      <w:r>
        <w:rPr>
          <w:b/>
        </w:rPr>
        <w:t>E. 2.1</w:t>
      </w:r>
    </w:p>
    <w:p>
      <w:r>
        <w:t>Die Beschwerdeführerin rügt eine willkürliche Sachverhaltsfeststellung. Sie macht insbesondere geltend, die Vorinstanz erwähne die E-Mail vom 9. Dezember 2011 nicht, in welcher der Beschwerdegegner B.________ eine Entschädigung für die entwendeten Gegenstände angeboten hätte. Dieses Angebot sei nicht verständlich, wenn der Beschwerdegegner den Diebstahl nicht begangen hätte. Auch setze sich die Vorinstanz nicht mit den Aussagen von B.________ auseinander, welche, im Gegensatz zu denjenigen des Beschwerdegegners, glaubhaft seien. Jedenfalls hätte die Vorinstanz - zumal eine "Aussage gegen Aussage"-Situation vorliege - B.________ und C.________ einvernehmen müssen, um sich ein umfassendes Bild zu machen.</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w:t>
      </w:r>
    </w:p>
    <w:p>
      <w:r>
        <w:rPr>
          <w:b/>
        </w:rPr>
        <w:t>E. 2.3</w:t>
      </w:r>
    </w:p>
    <w:p>
      <w:r>
        <w:t>Wie die Vorinstanz zutreffend erwägt, bestehen vorliegend keine direkten Beweise, sondern nur Indizien für den behaupteten Diebstahl. Aus den Aussagen von B.________ folgt nicht zwingend, dass der Beschwerdegegner die ihm vorgeworfene Tat begangen hat. Dass jemand, der keine Straftat begangen hat, einem Dritten eine Entschädigung anbietet, um auf diese Weise ein drohendes Strafverfahren abzuwenden, ist nachvollziehbar. Die Vorinstanz verfällt nicht in Willkür, wenn sie den diesbezüglichen Aussagen des Beschwerdegegners folgt. Soweit die Beschwerdeführerin im Übrigen die vorinstanzliche Sachverhaltsfeststellung kritisiert, erschöpfen sich ihre Vorbringen in unzulässiger, appellatorischer Kritik, worauf nicht einzutreten ist.</w:t>
      </w:r>
    </w:p>
    <w:p>
      <w:r>
        <w:rPr>
          <w:b/>
        </w:rPr>
        <w:t>E. 2.4</w:t>
      </w:r>
    </w:p>
    <w:p>
      <w:r>
        <w:t>Nach Art. 343 Abs. 3 i.V.m. Art. 405 Abs. 1 StPO hat eine unmittelbare Beweisabnahme im Rechtsmittelverfahren unter anderem dann zu erfolgen, wenn die unmittelbare Kenntnis des Beweismittels für die Urteilsfällung notwendig erscheint. Dies ist namentlich der Fall, wenn die Beweiskraft des Beweismittels in entscheidender Weise vom Eindruck abhängt, der bei seiner Präsentation entsteht, beispielsweise wenn es in besonderem Masse auf den unmittelbaren Eindruck einer Zeugenaussage ankommt, so etwa bei Aussage gegen Aussage. Das Gericht verfügt bei der Frage, ob eine erneute Beweisabnahme erforderlich ist, über einen Ermessensspielraum ( BGE 140 IV 196 E. 4.4.2 mit Hinweisen). Ist die unmittelbare Kenntnis des Beweismittels für die Urteilsfällung notwendig, gilt dies sowohl für das erstinstanzliche als auch für das Berufungsverfahren, denn die Beweiserhebung durch das Erstgericht kann die erforderliche unmittelbare Kenntnis des Berufungsgerichts nicht ersetzen (Urteil 6B_70/2015 vom 20. April 2016 E. 1.4.2).</w:t>
      </w:r>
    </w:p>
    <w:p>
      <w:r>
        <w:t>B.________ gab nicht an, gesehen zu haben, wie der Beschwerdegegner die ihm vorgeworfene Tat verübte. Sie berichtete lediglich über Umstände, die der Beschwerdegegner nicht in Frage stellt und die nicht zwingend auf seine Täterschaft schliessen lassen. Auch bei C.________ ist nicht anzunehmen, dass dieser die dem Beschwerdegegner vorgeworfene Tat unmittelbar wahrnahm. Eine unmittelbare Beweisabnahme im Berufungsverfahren war nicht erforderlich.</w:t>
      </w:r>
    </w:p>
    <w:p>
      <w:r>
        <w:rPr>
          <w:b/>
        </w:rPr>
        <w:t>E. 3</w:t>
      </w:r>
    </w:p>
    <w:p>
      <w:r>
        <w:t>Die Beschwerde ist abzuweisen, soweit darauf eingetreten werden kann. Der unterliegenden Beschwerdeführerin sind keine Kosten aufzuerlegen ( Art. 66 Abs. 4 BGG ). Dem Beschwerdegegner ist keine Parteientschädigung zuzusprechen,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