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6B_1315/2015 vom 9. August 2016</w:t>
      </w:r>
    </w:p>
    <w:p>
      <w:r>
        <w:t>Bundesgericht, 2016-08-09, FR</w:t>
      </w:r>
    </w:p>
    <w:p>
      <w:r>
        <w:rPr>
          <w:b/>
        </w:rPr>
        <w:t xml:space="preserve">Quelle: </w:t>
      </w:r>
      <w:r>
        <w:t>https://mcp.opencaselaw.ch/entscheid/bger_6B_1315_2015</w:t>
      </w:r>
    </w:p>
    <w:p>
      <w:r>
        <w:t>FR: TF 6B_1315/2015 du 9 août 2016</w:t>
      </w:r>
    </w:p>
    <w:p>
      <w:r>
        <w:t>IT: TF 6B_1315/2015 del 9 agosto 2016</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en matière pénale au sens de l' art. 78 LTF . Elle a un caractère final puisqu'elle confirme l'ordonnance de classement rendue par le ministère public ( art. 90 LTF ). Elle émane en outre de l'autorité cantonale de dernière instance ( art. 80 LTF ) et les recourants ont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Si la partie plaignante invoque des infractions distinctes, elle doit mentionner par rapport à chacune d'elles en quoi consiste son dommage. Si celui-ci n'est motivé qu'en ce qui concerne l'une des infractions, le recours est irrecevable pour les autres infractions (cf. arrêt 6B_914/2013 du 27 février 2014 consid. 1.2). Il convient en l'espèce de distinguer les infractions, ainsi d'ailleurs que les recourants.</w:t>
      </w:r>
    </w:p>
    <w:p>
      <w:r>
        <w:rPr>
          <w:b/>
        </w:rPr>
        <w:t>E. 1.2.1</w:t>
      </w:r>
    </w:p>
    <w:p>
      <w:r>
        <w:t>S'agissant tout d'abord de l'infraction de gestion déloyale ( art. 158 CP ), il ressort du mémoire de recours que les faits reprochés à l'intimé à cet égard auraient été commis à l'encontre de la recourante X.________ SA. Celle-ci soutient que, dans le cadre de la procédure pénale, elle pourrait faire valoir contre l'intimé les dommages et intérêts résultant de l'annulation de la convention de mise à disposition des fibres ou obtenir le remboursement des prélèvements allégués opérés sans droit par l'intimé alors qu'il était administrateur, voire peu après sa démission. Au stade de la recevabilité, on peut se demander si ces éléments non chiffrés suffisent. Cette question peut cependant rester ouverte vu le sort du recours.</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140 IV 155 consid. 3.3.1 p. 158; arrêts 6B_116/2015 du 8 octobre 2015 consid. 2.1; 1B_9/2015 du 23 juin 2015 consid. 2.3.1 et 2.3.2; 6B_1207/2013 du 14 mai 2014 consid. 3.3). Il en résulte que si des liens existent entre X.________ SA et les recourants B.Y.________ - administrateur - et A.Y.________ - actionnaire de D.________ SA -, ceux-ci ne sont pas touchés directement par les actes allégués commis par l'intimé à l'encontre de la société recourante. Il leur appartenait dès lors de démontrer quel serait le préjudice propre subi. Faute de toute explication, la qualité pour recourir leur est déniée s'agissant de cette infraction.</w:t>
      </w:r>
    </w:p>
    <w:p>
      <w:r>
        <w:rPr>
          <w:b/>
        </w:rPr>
        <w:t>E. 1.2.2</w:t>
      </w:r>
    </w:p>
    <w:p>
      <w:r>
        <w:t>Quant aux infractions de faux dans les titres ( art. 251 CP ) ou de faux dans les certificats ( art. 252 CP ), elles protègent, en tant que bien juridique, d'une part la confiance particulière placée dans un titre ayant valeur probante dans les rapports juridiques et, d'autre part, la loyauté dans les relations commerciales ( ATF 142 IV 119 consid. 2.2 p. 121 s.; 138 IV 130 consid. 2.1 p. 134; 132 IV 12 consid. 8.1 p. 14). Ces dispositions visent d'abord un bien juridique collectif (DUPUIS ET AL., Petit commentaire, Code pénal, 2012, n° 2 ad rem. prél. aux art. 251 à 257 CP). Toutefois, le faux dans les titres, respectivement dans les certificats, peut également porter atteinte à des intérêts individuels. En particulier, une personne peut être considérée comme lésée par un faux dans les titres lorsque le faux vise précisément à lui nuire ( ATF 140 IV 155 consid. 3.3.3 p. 159; 119 Ia 342 consid. 2b p. 346 s. et les références citées). Tel est le cas lorsque le faux est l'un des éléments d'une infraction contre le patrimoine; la personne dont le patrimoine est menacé ou atteint a alors la qualité de lésé ( ATF 119 Ia 342 consid. 2b p. 346 s.; arrêts 6B_1151/2014 du 16 décembre 2015 consid. 1.1; 6B_549/2013 du 24 février 2014 consid. 2.2.2).</w:t>
      </w:r>
    </w:p>
    <w:p>
      <w:r>
        <w:t>Dans leur mémoire de recours, les recourants ne font à nouveau aucune distinction entre eux. Or, au vu des arguments invoqués - dont la vente alléguée de tableaux à l'intimé par les époux Y.________ et la procédure civile les opposant à F.________ SA, à l'exclusion de la recourante X.________ SA -, cette dernière n'est manifestement pas concernée par l'éventuelle infraction de faux dans les titres ou dans les certificats. Sans autre explication, on ne voit pas quelles conclusions civiles elle pourrait faire valoir dans le cadre de la procédure pénale. Partant, la recourante X.________ SA n'a pas la qualité pour recourir sur cette question.</w:t>
      </w:r>
    </w:p>
    <w:p>
      <w:r>
        <w:t>S'agissant ensuite des recourants Y.________, il semble en substance ressortir de leur écriture que le préjudice qu'ils subiraient à la suite du classement de la procédure pénale serait la perte d'un moyen de preuve - les attestations de vente de tableaux - dans le cadre de la procédure civile ouverte à leur encontre en remboursement du prêt - contesté - que F.________ SA leur aurait accordé. Dès lors que le caractère de faux de ces documents ne semble plus remis en cause (cf. la plainte pénale du 24 juin 2013 ad 1 p. 4, l'ordonnance de classement p. 22 ss et l'arrêt entrepris p. 21 s.), on peine à comprendre quel serait l'intérêt pratique et actuel des recourants à obtenir la condamnation pénale de l'intimé pour ce chef d'infraction. De plus, la preuve de la possession - respectivement de la propriété - antérieure des tableaux allégués vendus à l'intimé repose uniquement sur lesdits - faux - documents (cf. p. 18 du recours). L'atteinte au patrimoine (escroquerie ou vol) dont paraissent - très brièvement (cf. p. 19 de l'écriture susmentionnée) - se prévaloir les recourants n'est ainsi pas manifeste. Cette constatation vaut d'autant plus que les recourants ne prétendent pas obtenir, par le biais de la procédure pénale, le paiement des tableaux prétendument vendus, leur restitution ou le remboursement du montant qui pourrait être dû au civil à F.________ SA. Partant, faute de prétentions civiles suffisamment expliquées, la qualité pour recourir doit être déniée aux recourants Y.________.</w:t>
      </w:r>
    </w:p>
    <w:p>
      <w:r>
        <w:rPr>
          <w:b/>
        </w:rPr>
        <w:t>E. 2</w:t>
      </w:r>
    </w:p>
    <w:p>
      <w:r>
        <w:t>Invoquant une violation de son droit d'être entendue ( art. 29 al. 2 Cst. ), la recourante soutient encore qu'elle n'aurait jamais eu l'occasion de démontrer sa propre version des faits, ce qu'auraient notamment permis l'audition des personnes et la production des pièces requises. Quant aux recourants Y.________, faute de qualité pour recourir sur le fond, ils ne sauraient faire valoir par le biais d'une prétendue violation de leurs droit de partie leurs griefs sur le fond ( ATF 141 IV 1 consid. 1.1 p. 5).</w:t>
      </w:r>
    </w:p>
    <w:p>
      <w:r>
        <w:t>La recourante ne conteste cependant pas que son représentant, B.Y.________, a été entendu au cours de la procédure et reconnaît avoir pu déposer des déterminations écrites par l'intermédiaire de son conseil, ainsi que des documents (cf. p. 22 de son mémoire). Elle ne prétend pas non plus n'avoir pas eu l'occasion de se prononcer sur les positions émises et les annexes produites par l'intimé.</w:t>
      </w:r>
    </w:p>
    <w:p>
      <w:r>
        <w:t>Ses réquisitions de preuve n'ont pas non plus été ignorées par la cour cantonale, qui les a certes rejetées. En effet, celle-ci, respectivement le ministère public, peut procéder à une appréciation anticipée des preuves à disposition lorsqu'elle a la certitude qu'elles ne pourraient pas l'amener à modifier son opinion ( ATF 141 I 60 consid. 3.3 p. 64; 136 I 229 consid. 5.3 p. 236 s.). Vu les références indiquées dans l'arrêt cantonal aux pièces figurant au dossier - produites de part et d'autre -, il apparaît que la juridiction précédente disposait de nombreux éléments lui permettant d'examiner les circonstances d'espèce; elle pouvait dès lors estimer, sans procéder de manière arbitraire, que les faits avaient été suffisamment instruits. Si l'appréciation qu'elle effectue ensuite de ces documents ne correspond pas à celle à laquelle aspire la recourante, il n'en résulte pas pour autant que ses réquisitions de preuve seraient pertinentes et/ou que la cour cantonale aurait violé son droit d'être entendue, notamment sous l'angle de son droit à la preuve ( ATF 135 I 187 consid. 2.2 p. 190).</w:t>
      </w:r>
    </w:p>
    <w:p>
      <w:r>
        <w:t>Ce grief peut par conséquent être rejeté.</w:t>
      </w:r>
    </w:p>
    <w:p>
      <w:r>
        <w:rPr>
          <w:b/>
        </w:rPr>
        <w:t>E. 3</w:t>
      </w:r>
    </w:p>
    <w:p>
      <w:r>
        <w:t>La recourante X.________ SA reproche à la cour cantonale d'avoir fait preuve d'arbitraire dans l'établissement des faits et lors de l'appréciation des preuves ( art. 9 Cst. ). Elle n'aurait ainsi pas fait référence aux échanges de correspondances intervenus entre l'intimé et J.________ SA afin d'obtenir - certes en sa faveur - un crédit. Elle aurait également omis de tenir compte du formulaire A du 20 juillet 2009 de cette même banque, qui mentionne F.________ SA comme ayant droit économique. Selon la recourante, ces deux éléments démontreraient en substance la valeur de la convention signée le 18 septembre 2006, ainsi que son exécution.</w:t>
      </w:r>
    </w:p>
    <w:p>
      <w:r>
        <w:t>Le raisonnement de la juridiction précédente ne se fonde cependant pas sur l'éventuelle valeur de la convention, mais sur l'absence d'exécution de celle-ci, faute de transfert de 10 % du capital-action de la recourante à F.________ SA, tel que requis dans ce contrat. Il en résulte que les échanges de correspondance invoqués - n'étant au demeurant pas indiqué à quelles pièces précises se réfère la recourante - sont dénués de pertinence.</w:t>
      </w:r>
    </w:p>
    <w:p>
      <w:r>
        <w:t>Quant au formulaire A susmentionné, il n'a pas été ignoré par la cour cantonale (cf. consid. 2.4.1 p. 17 de l'arrêt attaqué). Elle a toutefois considéré qu'il ne permettait pas de retenir que la transmission des actions aurait été effectuée vu le conseil d'administration tenu le 24 juin 2009, en présence de B.Y.________; lors de cette séance, il avait été constaté que ce transfert interviendrait ultérieurement à l'augmentation du capital-action de la recourante. Au regard de la chronologie des événements, ce raisonnement n'est manifestement pas arbitraire. Cela vaut d'autant plus que la recourante ne prétend pas que cette augmentation ou le transfert aurait été réalisé.</w:t>
      </w:r>
    </w:p>
    <w:p>
      <w:r>
        <w:t>Partant, le grief d'arbitraire peut être écarté.</w:t>
      </w:r>
    </w:p>
    <w:p>
      <w:r>
        <w:rPr>
          <w:b/>
        </w:rPr>
        <w:t>E. 4</w:t>
      </w:r>
    </w:p>
    <w:p>
      <w:r>
        <w:t>La recourante X.________ SA reproche à l'autorité précédente d'avoir considéré que les conditions de l'infraction de gestion déloyale ( art. 158 CP ) ne seraient pas réalisés. Elle soutient que l'intimé aurait porté atteinte à ses intérêts pécuniaires en annulant le 14 septembre 2009 la convention de mise à disposition de fibres par F.________ SA - dont il était également l'administrateur -, ainsi qu'en autorisant des prélèvements ou le paiement de factures indues au profit de F.________ SA.</w:t>
      </w:r>
    </w:p>
    <w:p>
      <w:r>
        <w:rPr>
          <w:b/>
        </w:rPr>
        <w:t>E. 4.1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"in dubio pro duriore"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186 consid. 4.1 p. 190).</w:t>
      </w:r>
    </w:p>
    <w:p>
      <w:r>
        <w:rPr>
          <w:b/>
        </w:rPr>
        <w:t>E. 4.2</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t>Sur le plan objectif, il faut que (1) l'auteur ait un devoir de gestion ou de sauvegarde, (2) qu'il ait violé une obligation inhérente à cette qualité et (3) qu'il en soit résulté un dommage. Sur le plan subjectif, il faut qu'il ait agit intentionnellement (sur ces conditions, cf. arrêt 6B_494/2015 du 25 mai 2016 consid. 2 et les arrêts cités).</w:t>
      </w:r>
    </w:p>
    <w:p>
      <w:r>
        <w:rPr>
          <w:b/>
        </w:rPr>
        <w:t>E. 4.3</w:t>
      </w:r>
    </w:p>
    <w:p>
      <w:r>
        <w:t>En l'occurrence, la recourante reprend quasiment mot pour mot les arguments développés devant l'autorité cantonale; il est dès lors douteux que son mémoire de recours soit recevable eu égard aux exigences de motivation découlant de l' art. 42 al. 2 LTF ( ATF 140 III 86 consid. 2 p. 88 ss).</w:t>
      </w:r>
    </w:p>
    <w:p>
      <w:r>
        <w:t>En tout état de cause, la recourante ne démontre pas quel comportement contraire à ses intérêts pourrait être reproché à l'intimé, respectivement que celui-ci aurait eu la volonté de lui nuire. En particulier, la recourante n'explique toujours pas quelles seraient les conséquences préjudiciables subies à la suite de l' "annulation" de la convention du 18 septembre 2006, opération dont son représentant actuel avait au demeurant connaissance.</w:t>
      </w:r>
    </w:p>
    <w:p>
      <w:r>
        <w:t>Quant aux versements allégués litigieux, la cour cantonale a retenu que B.Y.________ avait participé au projet secur-easy de la recourante, ce que celle-ci ne conteste pas; il en résulte que les honoraires versés à D.________ - certes par l'intermédiaire de F.________ SA - paraissent justifiés. C'est dans le cadre de ce même projet que sont également intervenus O.________ et P.________. La cour cantonale a relevé que la réalité des activités des deux susmentionnés était attestée par pièces (cf. pièces 62/0.11 à 62/0.29), documents que ne discute pas la recourante. A suivre son argumentation, on comprend d'ailleurs que son nouvel administrateur entend surtout contester les montants facturés pour ces prestations, respectivement a sa propre interprétation du contrat de courtage la liant à P.________, problématiques ne relevant a priori pas de la juridiction pénale. Une divergence quant à la stratégie envisagée ou suivie, ainsi qu'un acte de gestion qui s'avère ensuite peut-être discutable ne constituent pas de facto une infraction pénale, notamment sous l'angle de l'intention de nuire. Cela vaut d'autant plus lorsque, comme en l'espèce, l'éventuel conflit d'intérêts pouvant résulter de l'administration par une même et unique personne de deux entités en relation d'affaires ne pouvait être ignoré des parties. La société, respectivement ses actionnaires, ne sont au demeurant pas dénués de tout moyen par rapport à un administrateur dont ils contestent les décisions.</w:t>
      </w:r>
    </w:p>
    <w:p>
      <w:r>
        <w:t>Les conditions de l'infraction de gestion déloyale, notamment celle de l'intention de nuire, n'étant pas réalisées, la Chambre des recours pénale pouvait, sans violer le droit fédéral, confirmer l'ordonnance de classement sur ce point.</w:t>
      </w:r>
    </w:p>
    <w:p>
      <w:r>
        <w:rPr>
          <w:b/>
        </w:rPr>
        <w:t>E. 5</w:t>
      </w:r>
    </w:p>
    <w:p>
      <w:r>
        <w:t>Il s'ensuit que le recours est rejeté dans la mesure où il est recevable.</w:t>
      </w:r>
    </w:p>
    <w:p>
      <w:r>
        <w:t>Les recourants, qui succombent, supportent solidairement les frais judiciaires ( art. 66 al. 1 LTF ). L'intimé n'ayant pas été invité à se déterminer,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