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6B_1312/2021 vom 18. Mai 2022</w:t>
      </w:r>
    </w:p>
    <w:p>
      <w:r>
        <w:t>Bundesgericht, 2022-05-18, FR</w:t>
      </w:r>
    </w:p>
    <w:p>
      <w:r>
        <w:rPr>
          <w:b/>
        </w:rPr>
        <w:t xml:space="preserve">Quelle: </w:t>
      </w:r>
      <w:r>
        <w:t>https://mcp.opencaselaw.ch/entscheid/bger_6B_1312_2021</w:t>
      </w:r>
    </w:p>
    <w:p>
      <w:r>
        <w:t>FR: TF 6B_1312/2021 du 18 mai 2022</w:t>
      </w:r>
    </w:p>
    <w:p>
      <w:r>
        <w:t>IT: TF 6B_1312/2021 del 18 maggio 2022</w:t>
      </w:r>
    </w:p>
    <w:p>
      <w:pPr>
        <w:pStyle w:val="Heading2"/>
      </w:pPr>
      <w:r>
        <w:t>Erwägungen</w:t>
      </w:r>
    </w:p>
    <w:p>
      <w:r>
        <w:rPr>
          <w:b/>
        </w:rPr>
        <w:t>E. 1</w:t>
      </w:r>
    </w:p>
    <w:p>
      <w:r>
        <w:t>L'autorité de dernière instance cantonale a prononcé le rejet de la demande de révision du recourant aussi bien en tant qu'elle portait sur ses prétentions civiles que sur les frais et dépens de la procédure pénale cantonale. Dans cette configuration, et dans la mesure où la cour cantonale n'a ainsi pas uniquement statué sur les prétentions civiles, c'est bien la voie du recours en matière pénale qui est ouverte ( art. 78 al. 2 let. a LTF ) et non celle du recours en matière civile ( ATF 135 IV 43 consid. 1.1.1 p. 45 s.; arrêts 6B_242/2020 du 6 juillet 2020 consid. 1.2; 6B_981/2017 du 7 février 2018 consid. 1; 6B_819/2013 du 27 mars 2014 consid. 2).</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En l'espèce, le recourant a requis, par demande du 7 janvier 2021 adressée à la Cour d'appel pénal, la révision de l'arrêt du 11 novembre 2016, en tant notamment que celui-ci portait sur le rejet des prétentions civiles, par 66'723 fr. 24, avec intérêts, qu'il avait fait valoir, comme partie plaignante, dans le cadre de la procédure pénale dirigée contre l'intimé pour abus de confiance. La demande de révision ayant été rejetée, le recourant doit se voir reconnaître la qualité pour recourir au regard de l'art. 81 al. 1 let. b ch. 5 LTF.</w:t>
      </w:r>
    </w:p>
    <w:p>
      <w:r>
        <w:rPr>
          <w:b/>
        </w:rPr>
        <w:t>E. 3</w:t>
      </w:r>
    </w:p>
    <w:p>
      <w:r>
        <w:t>Le recourant conteste le rejet de sa demande de révision, faisant grief à la cour cantonale d'avoir dénié l'existence du motif de révision décrit à l' art. 410 al. 1 let. b CPP .</w:t>
      </w:r>
    </w:p>
    <w:p>
      <w:r>
        <w:rPr>
          <w:b/>
        </w:rPr>
        <w:t>E. 3.1.1</w:t>
      </w:r>
    </w:p>
    <w:p>
      <w:r>
        <w:t>L' art. 410 al. 1 let. b CPP prévoit que toute personne lésée par un jugement entré en force peut en demander la révision si la décision est en contradiction flagrante avec une décision pénale rendue postérieurement sur les mêmes faits.</w:t>
      </w:r>
    </w:p>
    <w:p>
      <w:r>
        <w:t>La contradiction au sens de cette disposition doit porter sur un élément de fait et non pas sur l'application du droit ou sur une modification ultérieure de la jurisprudence; l'appréciation différente d'une question de droit entre deux autorités ne constitue pas un motif de révision (arrêt 6B_1476/2020 du 28 octobre 2021 consid. 7.3.3, destiné à la publication; arrêt 6B_972/2019 du 9 octobre 2019 consid. 3.2, traduit in SJ 2020 I 11; cf. Message du 21 décembre 2005 relatif à l'unification de la procédure pénale [ci-après: Message], FF 2006 1057 ss, 1304 ad art. 417 al. 1 let. b du projet).</w:t>
      </w:r>
    </w:p>
    <w:p>
      <w:r>
        <w:rPr>
          <w:b/>
        </w:rPr>
        <w:t>E. 3.1.2</w:t>
      </w:r>
    </w:p>
    <w:p>
      <w:r>
        <w:t>A teneur de l' art. 410 al. 1 CPP , la révision présuppose que le jugement concerné soit entré en force. Le jugement doit être définitif et exécutoire; il doit porter sur un état de fait déterminé et concerner une personne déterminée (LAURA JACQUEMOUD-ROSSARI, in Commentaire romand, Code de procédure pénale suisse, 2e éd., 2019, n° 11 ad art. 410 CPP ). Tant qu'une décision n'est pas entrée en force, elle ne peut être attaquée que par les voies de droit ordinaires. La révision ne vise pas en effet à remplacer les voies de droit manquées (MARIANNE HEER, in Basler Kommentar, Schweizerische Strafprozessordnung, 2e éd., 2014, n° 10 ad art. 410 CPP ; Message, FF 2006 1057 ss, 1303 ad art. 417 al. 1 du projet).</w:t>
      </w:r>
    </w:p>
    <w:p>
      <w:r>
        <w:rPr>
          <w:b/>
        </w:rPr>
        <w:t>E. 3.2</w:t>
      </w:r>
    </w:p>
    <w:p>
      <w:r>
        <w:t>Saisie d'un arrêt de renvoi du Tribunal fédéral, la cour cantonale ne peut traiter que les points cassés par celui-ci, tandis que les autres parties du jugement demeurent valables et doivent être reprises dans la nouvelle décision postérieure au renvoi ( ATF 117 IV 97 consid. 4a). Peu importe, à cet égard, que le Tribunal fédéral eût annulé formellement le premier jugement dans son ensemble à l'occasion de son arrêt de renvoi. La procédure ne doit être reprise par l'autorité cantonale que dans la mesure où cela apparaît nécessaire à la mise en oeuvre des considérants contraignants du Tribunal fédéral (arrêt 6B_1476/2020 du 28 octobre 2021 consid. 6.1, destiné à la publication; cf. ATF 143 IV 214 consid. 5.2.1 et les références citées; arrêts 6B_718/2020 du 25 novembre 2020 consid. 1.2; 6B_527/2020 du 29 septembre 2020 consid. 1.3; 6B_280/2020 du 17 juin 2020 consid. 1.2).</w:t>
      </w:r>
    </w:p>
    <w:p>
      <w:r>
        <w:rPr>
          <w:b/>
        </w:rPr>
        <w:t>E. 3.3</w:t>
      </w:r>
    </w:p>
    <w:p>
      <w:r>
        <w:t>Le recourant entend se prévaloir que l'arrêt rendu le 11 novembre 2016 par la cour cantonale, dont la révision est requise quant au rejet de ses conclusions civiles et de sa demande d'indemnité à titre de l' art. 433 CPP , est contradictoire avec celui qu'elle a ultérieurement rendu le 8 octobre 2020. Selon le recourant, la contradiction réside dans le fait que l'intimé a été acquitté du chef d'abus de confiance par arrêt du 11 novembre 2016, alors qu'il a été condamné pour ce même chef de prévention par arrêt du 8 octobre 2020. La contradiction reposerait dès lors sur une appréciation différente de l'état de fait et non sur une appréciation juridique différente.</w:t>
      </w:r>
    </w:p>
    <w:p>
      <w:r>
        <w:t>Ce faisant, le recourant perd de vue qu'à la suite du recours en matière pénale formé par le ministère public, l'arrêt du 11 novembre 2016 avait été annulé par le Tribunal fédéral, la cause ayant été renvoyée à la cour cantonale pour nouvelle appréciation des preuves (cf. arrêt 6B_1383/2016 du 16 mai 2018 consid. 3). L'arrêt du 11 novembre 2016 n'est dès lors pas entré en force s'agissant de l'acquittement de l'intimé du chef d'abus de confiance. Aussi, dans la mesure où la cour cantonale devait procéder à une nouvelle appréciation des preuves à la suite de l'annulation de l'arrêt du 11 novembre 2016, l'état de fait retenu dans ce dernier arrêt, ayant fondé l'acquittement de l'intimé et par conséquent le rejet des prétentions civiles et de la demande d'indemnisation du recourant, ne s'est pas vu conférer un caractère définitif ensuite du renvoi opéré par le Tribunal fédéral.</w:t>
      </w:r>
    </w:p>
    <w:p>
      <w:r>
        <w:t>Dès lors, en tant que la demande du 7 janvier 2021 visait la révision de l'arrêt du 11 novembre 2016, la cour cantonale aurait dû constater que celle-là était dépourvue d'objet.</w:t>
      </w:r>
    </w:p>
    <w:p>
      <w:r>
        <w:rPr>
          <w:b/>
        </w:rPr>
        <w:t>E. 3.4</w:t>
      </w:r>
    </w:p>
    <w:p>
      <w:r>
        <w:t>De surcroît, il est observé que, lors des débats d'appel du 8 octobre 2020, le recourant avait renouvelé ses prétentions civiles ainsi que sa demande tendant à l'allocation d'une indemnité à titre de l' art. 433 CPP . Dans son arrêt du même jour, la cour cantonale a néanmoins estimé que, nonobstant la condamnation de l'intimé finalement prononcée, il n'y avait pas lieu de revenir sur le rejet des conclusions civiles et des prétentions en indemnisation au sens de l' art. 433 CPP , faute pour le recourant d'avoir contesté ces derniers aspects dans le cadre d'un recours en matière pénale contre l'arrêt du 11 novembre 2016 (cf. arrêt du 8 octobre 2020, consid. 1.1 p. 4 ss et consid. 6.4 p. 20).</w:t>
      </w:r>
    </w:p>
    <w:p>
      <w:r>
        <w:t>Cela étant, si le recourant entendait s'opposer à cette appréciation juridique, il lui était loisible de former un recours en matière pénale au Tribunal fédéral contre l'arrêt du 8 octobre 2020, qu'il s'est vu notifier en qualité de partie plaignante et contre lequel il disposait également de la qualité de recourir (cf. art. 81 al. 1 let. a et b ch. 5 LTF), ce qu'il n'a toutefois pas fait.</w:t>
      </w:r>
    </w:p>
    <w:p>
      <w:r>
        <w:t>La voie de la révision, par son caractère subsidiaire, n'étant pas destinée à pallier les voies de droit manquées ou oubliées, la demande de révision du 7 janvier 2021 aurait donc dû, dans cette mesure, être déclarée irrecevable.</w:t>
      </w:r>
    </w:p>
    <w:p>
      <w:r>
        <w:rPr>
          <w:b/>
        </w:rPr>
        <w:t>E. 4</w:t>
      </w:r>
    </w:p>
    <w:p>
      <w:r>
        <w:t>Il s'ensuit que le recours doit être rejeté dans la mesure où il est recevable. Le recourant, qui succombe, supporte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