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1309/2023 vom 2. April 2024</w:t>
      </w:r>
    </w:p>
    <w:p>
      <w:r>
        <w:t>Bundesgericht, 2024-04-02, FR</w:t>
      </w:r>
    </w:p>
    <w:p>
      <w:r>
        <w:rPr>
          <w:b/>
        </w:rPr>
        <w:t xml:space="preserve">Quelle: </w:t>
      </w:r>
      <w:r>
        <w:t>https://mcp.opencaselaw.ch/entscheid/bger_6B_1309_2023</w:t>
      </w:r>
    </w:p>
    <w:p>
      <w:r>
        <w:t>FR: TF 6B 1309/2023 du 2 avril 2024</w:t>
      </w:r>
    </w:p>
    <w:p>
      <w:r>
        <w:t>IT: TF 6B 1309/2023 del 2 aprile 2024</w:t>
      </w:r>
    </w:p>
    <w:p>
      <w:pPr>
        <w:pStyle w:val="Heading2"/>
      </w:pPr>
      <w:r>
        <w:t>Regeste</w:t>
      </w:r>
    </w:p>
    <w:p>
      <w:r>
        <w:t>Mesure thérapeutique institutionelle; arbitraire. droit d'être entendu | Droit pénal (en général)</w:t>
      </w:r>
    </w:p>
    <w:p>
      <w:pPr>
        <w:pStyle w:val="Heading2"/>
      </w:pPr>
      <w:r>
        <w:t>Erwägungen</w:t>
      </w:r>
    </w:p>
    <w:p>
      <w:r>
        <w:rPr>
          <w:b/>
        </w:rPr>
        <w:t>E. 1</w:t>
      </w:r>
    </w:p>
    <w:p>
      <w:r>
        <w:t>Invoquant une violation des art. 29 al. 2 Cst. , 6 CEDH et 3 al. 2 let. c CPP en lien avec les art. 344 et 351 CPP , le recourant se plaint d'une violation du droit d'être entendu. Il invoque également l' art. 9 Cst. et se plaint d'une appréciation anticipée arbitraire du moyen de preuve offert, à savoir l'audition de l'expert. Il reproche en particulier à la cour cantonale de ne pas avoir entendu l'expert avant de prononcer une mesure institutionnelle en appel (cf. recours, p. 20) ainsi que sur la question de la suspension de la peine au profit de la mesure ambulatoire (cf. recours, p. 19 et p. 33).</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6B_1155/2022 du 21 août 2023 consid. 2.1; 6B_933/2022 du 8 mai 2023 consid. 2.1.1; 6B_1403/2021 du 9 juin 2022 consid. 1.2, non publié in ATF 148 I 295 ). La juridiction d'appel peut ainsi refuser des preuves nouvelles lorsqu'une administration anticipée de ces preuves démontre qu'elles ne seront pas de nature à modifier le résultat de celles déjà administrées ( ATF 136 I 229 consid. 5.3; arrêts 6B_239/2023 du 10 août 2023 consid. 1.1; 6B_933/2022 précité consid. 2.1.1).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 6B_933/2022 précité consid. 2.1.1).</w:t>
      </w:r>
    </w:p>
    <w:p>
      <w:r>
        <w:rPr>
          <w:b/>
        </w:rPr>
        <w:t>E. 1.3</w:t>
      </w:r>
    </w:p>
    <w:p>
      <w:r>
        <w:t>Selon la jurisprudence, le prévenu dispose en principe d'un droit d'interroger l'expert découlant de l' art. 6 par. 3 let . d CEDH. Ce droit est en principe invoqué au cours de la procédure préliminaire. La demande d'interroger l'expert doit en principe être formulée au plus tard lors de la procédure de première instance dans le cadre des réquisitions de preuves au sens de l' art. 331 al. 2 CPP (arrêts 6B_971/2023 du 19 octobre 2023 consid. 1.2; 6B_1080/2021 précité consid. 2.3 et les références citées). L'audition orale d'un expert en deuxième instance peut également se justifier lorsque, par exemple, l'interprétation des constatations de l'expertise par l'instance précédente dans la motivation de son jugement ou un développement ultérieur soulève des questions (arrêts 6B_971/2023 précité consid. 1.2; 6B_1080/2021 précité consid. 2.3; cf. aussi MARIANNE HEER, in Basler Kommentar, Schweizerische Strafprozessordnung, 3e éd., 2023, n° 3a ad art. 188 CPP ).</w:t>
      </w:r>
    </w:p>
    <w:p>
      <w:r>
        <w:rPr>
          <w:b/>
        </w:rPr>
        <w:t>E. 1.4</w:t>
      </w:r>
    </w:p>
    <w:p>
      <w:r>
        <w:t>L'exercice du droit d'être confronté à un témoin ou d'interroger un expert suppose de toute manière un comportement actif du prévenu ou de son avocat; il leur incombe de réclamer l'audition en temps utile et dans les formes prescrites ( ATF 120 Ia 48 consid. 2e/bb, p. 55; arrêts 6B_527/2023 du 29 août 2023 consid. 2.2.3; 6B_1080/2021 précité consid. 2.3.1; 6B_625/2015 du 28 octobre 2015 consid. 2.1). Ainsi, le prévenu qui omet de requérir en temps utile et dans les formes une telle audition peut-il se voir reprocher d'y avoir renoncé, quand bien même il incombe aux autorités de pourvoir d'office à ce que les preuves nécessaires soient administrées (v. art. 6, art. 343 et art. 389 al. 3 CPP ; ATF 143 IV 397 consid. 3.3.1; 125 I 127 consid. 6c/bb; arrêts 6B_527/2023 précité consid. 2.2.3; 6B_172/2023 du 24 mai 2023 consid. 2.3; 6B_665/2022 du 14 septembre 2022 consid. 3.3.2; 6B_100/2017 du 9 mars 2017 consid. 3.2; 6B_522/2016 du 30 août 2016 consid. 1.3).</w:t>
      </w:r>
    </w:p>
    <w:p>
      <w:r>
        <w:rPr>
          <w:b/>
        </w:rPr>
        <w:t>E. 1.5</w:t>
      </w:r>
    </w:p>
    <w:p>
      <w:r>
        <w:t>En l'espèce, comme le recourant le soutient, il ressort du dossier qu'il a demandé à plusieurs reprises aux autorités pénales (ministère public, tribunal des mesures de contrainte, tribunal cantonal; cf. notamment pièces 4255 et 4257 du dossier cantonal; art. 105 al. 2 LTF ) l'audition du Dr D.________. Cette réquisition a toutefois toujours été refusée. Dans sa déclaration d'appel, le recourant a également sollicité l'audition du Dr D.________ ainsi qu'une expertise complémentaire (cf. pièce 59 du dossier cantonal; art. 105 al. 2 LTF ). Par ordonnance du 4 juillet 2023, la direction de la procédure a rejeté ces réquisitions (cf. pièce 121 du dossier cantonal; art. 105 al. 2 LTF ). Elle a en revanche posé des questions complémentaires à l'expert concernant le risque de récidive, auquel celui-ci a répondu le 6 septembre 2023. Après avoir pris connaissance des comptes rendus des spécialistes chargés du suivi du recourant et avoir auditionné ce dernier, la cour cantonale a informé les parties dans le cadre de la séance du 27 septembre 2023 qu'elle allait également envisager la possibilité de prononcer une mesure institutionnelle au sens de l' art. 59 CP . Le recourant soutient, à cette occasion, avoir demandé à la cour cantonale d'entendre formellement l'expert s'il subsistait le moindre doute notamment quant à la mesure à prononcer ainsi que sur la question de la suspension de la peine au profit de celle-ci.</w:t>
      </w:r>
    </w:p>
    <w:p>
      <w:r>
        <w:rPr>
          <w:b/>
        </w:rPr>
        <w:t>E. 1.6</w:t>
      </w:r>
    </w:p>
    <w:p>
      <w:r>
        <w:t>Il découle de ce qui précède que le recourant a été constant dans sa demande d'audition de l'expert tout au long de la procédure, de sorte que l'on ne saurait lui reprocher d'avoir été inactif (cf. supra consid. 1.4).</w:t>
      </w:r>
    </w:p>
    <w:p>
      <w:r>
        <w:rPr>
          <w:b/>
        </w:rPr>
        <w:t>E. 1.7</w:t>
      </w:r>
    </w:p>
    <w:p>
      <w:r>
        <w:t>En l'espèce, on rappellera que, selon la jurisprudence, le remplacement, dans le cadre d'un appel du condamné, d'une mesure thérapeutique ambulatoire par une mesure institutionnelle est possible ( ATF 144 IV 113 consid. 4). Cela étant, si la cour cantonale a certes annoncé qu'elle envisageait de changer la mesure et en a informé le recourant elle aurait dû à tout le moins entendre l'expert et permettre au recourant de lui poser des questions à ce sujet (cf. supra consid. 1.3; cf. aussi notamment S. WIPRÄCHTIGER, in Basler Kommentar Strafprozessordnung, 3e éd., 2023, n° 7 ad 344 StPO), ce d'autant plus qu'elle s'écartait de l'expertise. A cela s'ajoute encore qu'il y a eu une succession de compléments d'expertise et que l'expert n'a pas été entendu au cours de la procédure préliminaire ou lors de la procédure de première instance. Le recours doit donc être admis et la cause renvoyée à la cour cantonale pour qu'elle procède à l'audition de l'expert sur la question du prononcé éventuel d'un traitement institutionnel et sur la question de la compatibilité entre un éventuel traitement ambulatoire, tel que préconisé par l'expert, et l'exécution de la peine privative de liberté infligée.</w:t>
      </w:r>
    </w:p>
    <w:p>
      <w:r>
        <w:rPr>
          <w:b/>
        </w:rPr>
        <w:t>E. 2</w:t>
      </w:r>
    </w:p>
    <w:p>
      <w:r>
        <w:t>Au vu de ce qui précède, le recours doit être admis, l'arrêt attaqué annulé et la cause renvoyée à l'autorité précédente pour nouvelle décision au sens des considérants qui précèdent. Le recourant, qui obtient gain de cause, ne supporte pas de frais judiciaires ( art. 66 al. 1 LTF ). Il peut prétendre à de pleins dépens pour la procédure devant le Tribunal fédéral, à la charge du canton de Fribourg. Sa demande d'assistance judiciaire devient ainsi sans objet ( art. 64 al. 2 LTF ). La cause étant tranchée, la demande d'effet suspensif est sans objet, à supposer qu'elle en eût un, le recours étant de plein droit suspensif en ce qui concerne la condamnation à une peine privative de liberté ferme ( art. 103 al. 2 let. b LTF ; cf. arrêt 6B_1326/2022 du 29 novembre 2023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