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6B_1308/2020 vom 5. Mai 2021</w:t>
      </w:r>
    </w:p>
    <w:p>
      <w:r>
        <w:t>Bundesgericht, 2021-05-05, FR</w:t>
      </w:r>
    </w:p>
    <w:p>
      <w:r>
        <w:rPr>
          <w:b/>
        </w:rPr>
        <w:t xml:space="preserve">Quelle: </w:t>
      </w:r>
      <w:r>
        <w:t>https://mcp.opencaselaw.ch/entscheid/bger_6B_1308_2020</w:t>
      </w:r>
    </w:p>
    <w:p>
      <w:r>
        <w:t>FR: TF 6B_1308/2020 du 5 mai 2021</w:t>
      </w:r>
    </w:p>
    <w:p>
      <w:r>
        <w:t>IT: TF 6B_1308/2020 del 5 maggio 2021</w:t>
      </w:r>
    </w:p>
    <w:p>
      <w:pPr>
        <w:pStyle w:val="Heading2"/>
      </w:pPr>
      <w:r>
        <w:t>Erwägungen</w:t>
      </w:r>
    </w:p>
    <w:p>
      <w:r>
        <w:rPr>
          <w:b/>
        </w:rPr>
        <w:t>E. 1</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adjoint du canton du Vaud. Le recours est donc recevable.</w:t>
      </w:r>
    </w:p>
    <w:p>
      <w:r>
        <w:rPr>
          <w:b/>
        </w:rPr>
        <w:t>E. 2</w:t>
      </w:r>
    </w:p>
    <w:p>
      <w:r>
        <w:t>Le recourant reproche à la cour cantonale d'avoir prononcé, à l'encontre de l'intimé, une peine pécuniaire de 180 jours-amende.</w:t>
      </w:r>
    </w:p>
    <w:p>
      <w:r>
        <w:rPr>
          <w:b/>
        </w:rPr>
        <w:t>E. 2.1</w:t>
      </w:r>
    </w:p>
    <w:p>
      <w:r>
        <w:t>La cour cantonale a exposé que la culpabilité de l'intimé était moyenne. Ce dernier était expérimenté, avait pu se rendre compte de la dangerosité de l'utilisation du "</w:t>
      </w:r>
    </w:p>
    <w:p>
      <w:r>
        <w:t>dumper " sur la rampe peu avant l'accident, était conscient des conditions difficiles d'excavation, mais avait décidé de changer le sens de marche de la machine sur la rampe, ce qui aurait dû l'alerter sur les conditions de sécurité. Au vu de ses responsabilités de chef de chantier, l'intimé aurait dû vérifier que la machine ne pouvait pas supporter une pente supérieure à 20% en marche avant. Il n'avait pas tenu compte du refus de son ouvrier de poursuivre les manoeuvres d'excavation dans la nouvelle configuration qu'il avait initiée, refus qui aurait dû l'alerter sur les risques qu'il faisait courir aux personnes se trouvant sur le chantier. L'intimé avait encore accru lesdits risques en creusant la rampe pour faciliter le chargement du "</w:t>
      </w:r>
    </w:p>
    <w:p>
      <w:r>
        <w:t>dumper ". Il n'avait ainsi pas pris le temps de mesurer le danger engendré par ses choix successifs et, malgré le temps écoulé, continuait de considérer que la responsabilité de l'accident reposait sur la victime. Il y avait concours d'infractions. A décharge, il convenait de tenir compte du comportement de l'intimé après l'accident - l'intéressé ayant immédiatement porté secours à la victime -, des conditions de travail particulièrement difficiles sur le chantier, ainsi que de l'absence de moyens concédés aux ouvriers pour accomplir leur travail correctement.</w:t>
      </w:r>
    </w:p>
    <w:p>
      <w:r>
        <w:t>Selon l'autorité précédente, une peine pécuniaire était suffisante pour sanctionner le comportement de l'intimé. Ce dernier avait été condamné à une peine pécuniaire de 300 jours-amende, en application de l'art. 34 al. 1 aCP, en vigueur au moment des faits. Selon l' art. 34 al. 1 CP dans sa teneur depuis le 1er janvier 2018, la peine pécuniaire devait être, sauf disposition contraire, de 180 jours-amende au plus. Pour la cour cantonale, il convenait d'appliquer la disposition légale dans sa nouvelle teneur, en application de l' art. 2 al. 2 CP , dans la mesure où celle-ci était plus favorable à l'intimé. La peine pécuniaire prononcée devait ainsi être ramenée à 180 jours-amende.</w:t>
      </w:r>
    </w:p>
    <w:p>
      <w:r>
        <w:rPr>
          <w:b/>
        </w:rPr>
        <w:t>E. 2.2</w:t>
      </w:r>
    </w:p>
    <w:p>
      <w:r>
        <w:t>Le recourant critique le raisonnement de la cour cantonale. Il soutient tout d'abord que la détermination du genre de la peine devrait advenir après la fixation de sa quotité, à savoir, concrètement, que le tribunal devrait tout d'abord fixer un nombre d'"unités pénales", avant de choisir si celles-ci peuvent ou doivent être traduites en jours-amende ou en jours de privation de liberté. Il prétend ensuite que le principe de la</w:t>
      </w:r>
    </w:p>
    <w:p>
      <w:r>
        <w:t>lex mitior ne permettrait pas de réduire la peine concernée pour se conformer à l' art. 34 al. 1 CP .</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Selon la jurisprudence, les critères applicables au choix de la peine sont les mêmes que ceux qui fondent la mesure de celle-ci; l'opportunité d'une sanction déterminée joue un rôle important et les décisions sur ces points exercent l'une sur l'autre une influence réciproque ( ATF 120 IV 67 consid. 2b p. 71). Pour déterminer le genre de peine devant sanctionner une infraction au regard de l' art. 47 CP , il convient donc notamment de tenir compte de la culpabilité de l'auteur ( ATF 144 IV 217 consid. 3.3.1 p. 225). Le Tribunal fédéral a certes, dans l'arrêt publié aux ATF 144 IV 313 , indiqué que la faute de l'auteur n'était pas déterminante pour le choix de la sanction ( ATF 144 IV 313 consid. 1.1.1 p. 317, avec notamment un renvoi à l'arrêt publié aux ATF 137 II 297 consid. 2.3.4 p. 301). Cela s'entend dans la mesure où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 ATF 144 IV 313 consid. 1.1.1 p. 317; 137 II 297 consid. 2.3.4 p. 301; 134 IV 97 consid. 4.2 p. 100). L'arrêt publié aux ATF 144 IV 313 le rappelle d'ailleurs clairement, en précisant 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(cf. ATF 144 IV 313 consid. 1.1.1 p. 317). Le système même du CP implique que la culpabilité de l'auteur ait une influence sur le genre de la peine prononcée, puisque les infractions les plus graves doivent en principe être sanctionnées par une peine privative de liberté et non par une peine pécuniaire (cf. par exemple les art. 111 à 113 CP).</w:t>
      </w:r>
    </w:p>
    <w:p>
      <w:r>
        <w:t>La prise en compte de la culpabilité dans le choix de la peine ne saurait cependant justifier la simple détermination d'un quantum d'unités, que le juge n'aurait ensuite plus qu'à traduire en jours-amende ou en jours de privation de liberté, selon les limites des sanctions en question (cf. ATF 144 IV 217 consid. 3.5.3 p. 235). Au contraire, le juge doit déterminer le genre de peine devant sanctionner une infraction, en tenant compte des différents critères énoncés précédemment - parmi lesquels la culpabilité -, ainsi qu'en fixer la quotité. Le recourant ne peut donc être suivi lorsqu'il soutient que le juge devrait tout d'abord fixer un "quantum, en unités pénales", puis seulement décider du genre de peine, ce qui reviendrait à laisser de côté les critères précédemment évoqués devant être pris en compte dans le choix du genre de peine.</w:t>
      </w:r>
    </w:p>
    <w:p>
      <w:r>
        <w:t>On peut rappeler, à cet égard, qu'il est en particulier exclu, pour le juge, lors de concours d'infractions, de fixer un nombre d'"unités pénales" pour chaque acte, puis de procéder à l'aggravation avant de choisir le genre de chaque sanction (cf. ATF 142 IV 265 consid. 2.4.3 p. 270 s.). En effet, l'application de l' art. 49 CP suppose que les peines soient du même genre, ce qui implique que le juge examine, pour chaque infraction commise, la nature de la peine à prononcer (cf. ATF 144 IV 313 consid. 1.1.1 p. 316; 144 IV 217 consid. 2.2 p. 219; 142 IV 265 consid. 2.3.2 p. 267 s.; application de la "méthode concrète").</w:t>
      </w:r>
    </w:p>
    <w:p>
      <w:r>
        <w:rPr>
          <w:b/>
        </w:rPr>
        <w:t>E. 4</w:t>
      </w:r>
    </w:p>
    <w:p>
      <w:r>
        <w:t>Le recourant fait grief à la cour cantonale d'avoir fait une mauvaise application du principe de la</w:t>
      </w:r>
    </w:p>
    <w:p>
      <w:r>
        <w:t>lex mitior et notamment d'avoir combiné à tort l'ancien droit avec le nouveau.</w:t>
      </w:r>
    </w:p>
    <w:p>
      <w:r>
        <w:rPr>
          <w:b/>
        </w:rPr>
        <w:t>E. 4.1</w:t>
      </w:r>
    </w:p>
    <w:p>
      <w:r>
        <w:t>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 entré en vigueur le 1er janvier 2018, dispose que, " sauf disposition contraire, la peine pécuniaire est de trois jours-amende au moins et ne peut excéder 180 jours-amende. Le juge fixe leur nombre en fonction de la culpabilité de l'auteur " (RO 2016 1249; FF 2012 p. 4385).</w:t>
      </w:r>
    </w:p>
    <w:p>
      <w:r>
        <w:rPr>
          <w:b/>
        </w:rPr>
        <w:t>E. 4.2.1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t>La loi sur la réforme du droit des sanctions ne prévoit pas de règles particulières sur le droit transitoire (FF 2012 p. 4385).</w:t>
      </w:r>
    </w:p>
    <w:p>
      <w:r>
        <w:rPr>
          <w:b/>
        </w:rPr>
        <w:t>E. 4.2.2</w:t>
      </w:r>
    </w:p>
    <w:p>
      <w:r>
        <w:t>Pour déterminer quel est le droit le plus favorable, il y a lieu d'examiner l'ancien et le nouveau droit dans leur ensemble et de comparer les résultats auxquels ils conduisent dans le cas concret ( ATF 135 IV 113 consid. 2.2 p. 114; 134 IV 82 consid. 6.2.1 p. 87 s.; arrêt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 ATF 134 IV 82 consid. 6.2.3 p. 88 s.; arrêt 6B_1053/2018 précité consid. 3.4). Si l'un et l'autre droit conduisent au même résultat, c'est l'ancien droit qui est applicable (cf. arrêt 6B_14/2007 du 17 avril 2007 consid. 4.2).</w:t>
      </w:r>
    </w:p>
    <w:p>
      <w:r>
        <w:rPr>
          <w:b/>
        </w:rPr>
        <w:t>E. 4.3.1</w:t>
      </w:r>
    </w:p>
    <w:p>
      <w:r>
        <w:t>Le Tribunal fédéral ne s'est pas encore prononcé de manière claire sur l'application du droit le plus favorable dans le cadre de la réforme du droit des sanctions. Dans quelques arrêts, il a, d'office, relevé une violation manifeste du droit fédéral, en constatant qu'une autorité cantonale de deuxième instance - ayant statué après le 1er janvier 2018 - avait prononcé, à l'encontre d'un prévenu, une peine pécuniaire supérieure à 180 jours-amende, alors que l'infraction concernée ne le prévoyait pas (cf. arrêts 6B_86/2020 du 31 mars 2020 consid. 2; 6B_1280/2019 du 5 février 2020 consid. 6). Dans d'autres arrêts présentant une configuration similaire, le Tribunal fédéral n'a pas procédé de la sorte (cf. par exemple l'arrêt 6B_478/2020 du 12 juin 2020), ou a laissé entendre que la question de la</w:t>
      </w:r>
    </w:p>
    <w:p>
      <w:r>
        <w:t>lex mitior , s'agissant de l' art. 34 al. 1 CP , n'était pas tranchée par la jurisprudence fédérale (cf. arrêt 6B_59/2020 du 30 novembre 2020 consid. 4.4).</w:t>
      </w:r>
    </w:p>
    <w:p>
      <w:r>
        <w:rPr>
          <w:b/>
        </w:rPr>
        <w:t>E. 4.3.2</w:t>
      </w:r>
    </w:p>
    <w:p>
      <w:r>
        <w:t>Dans son message relatif à la réforme du droit des sanctions, le Conseil fédéral explique que le nouvel art. 34 CP vise à réduire le champ d'application de la peine pécuniaire et, par conséquent, à accroître celui de la peine privative de liberté. Il relève que " la réduction de la peine pécuniaire maximale à 180 jours-amende participe au durcissement général du régime des peines ", ajoutant que " si la gravité de la faute commise ne s'accommode pas avec une peine pécuniaire de moins de 180 jours-amende et que les conditions ne sont pas réunies pour accorder un sursis au condamné, la seule option qui s'offrira au juge sera la peine privative de liberté ferme ". Il conclut que l'auteur sera ainsi puni plus sévèrement (cf. Message du 4 avril 2012 relatif à la modification du code pénal et du code pénal militaire [Réforme du droit des sanctions], FF 2012 4385, 4406).</w:t>
      </w:r>
    </w:p>
    <w:p>
      <w:r>
        <w:t>Il ressort donc du message du Conseil fédéral que l'ancien régime des peines était, sous cet angle, en principe moins sévère que celui en vigueur depuis le 1er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(cf. ATF 144 IV 313 consid. 1.1.1 p. 317; 144 IV 217 consid. 3.3.3 p. 228; 134 IV 97 consid. 4.2.2 p. 101 s.).</w:t>
      </w:r>
    </w:p>
    <w:p>
      <w:r>
        <w:rPr>
          <w:b/>
        </w:rPr>
        <w:t>E. 4.4</w:t>
      </w:r>
    </w:p>
    <w:p>
      <w:r>
        <w:t>Dans son raisonnement, la cour cantonale n'a pas procédé à une comparaison concrète entre l'ancien et le nouveau droit pour déterminer quel était le droit le plus favorable. Suivant le juge de première instance qui avait appliqué l'ancien droit, elle a déclaré qu'une peine pécuniaire - qui pouvait selon le droit en vigueur en 2015 se monter à 300 jours-amende - était suffisante pour sanctionner le comportement du recourant. Puis, dans la suite de son raisonnement, elle a appliqué le nouveau droit pour ramener la quotité de cette peine de 300 à 180 jours-amende. Cette manière de faire consiste à combiner l'application de l'ancien et du nouveau droit, ce qui contrevient à la jurisprudence. Le recours doit donc être admis sur ce point, le jugement attaqué doit être annulé et la cause doit être renvoyée à la cour cantonale pour nouveau jugement.</w:t>
      </w:r>
    </w:p>
    <w:p>
      <w:r>
        <w:t>Dans son nouveau jugement, la cour cantonale devra, dans une première étape, appliquer à l'infraction en cause l'ancien droit, sous l'empire duquel les faits se sont produits. Elle devra déterminer si, dans le système de l'ancien droit, une peine pécuniaire de 300 jours-amende correspond à la culpabilité du recourant. Dans une seconde étape, elle devra appliquer le nouveau droit dans sa totalité à cette même infraction, ce qui devra conduire, à culpabilité identique, à retenir une sanction de 300 jours de peine privative de liberté. Dès lors qu'il est admis qu'une peine privative de liberté est plus sévère qu'une peine pécuniaire, elle devra appliquer l'ancien droit et confirmer la peine pécuniaire de 300 jours-amende. Si la cour cantonale arrive à la conclusion que, selon le système de l'ancien droit, la gravité de la faute du recourant doit conduire à une peine pécuniaire de moins de 300 jours-amende, par exemple de 180 jours-amende, elle pourra prononcer une peine pécuniaire de 180 jours-amende. Dans ce cas, l'application du nouveau droit conduira au même résultat et ne sera donc pas plus favorable.</w:t>
      </w:r>
    </w:p>
    <w:p>
      <w:r>
        <w:rPr>
          <w:b/>
        </w:rPr>
        <w:t>E. 5</w:t>
      </w:r>
    </w:p>
    <w:p>
      <w:r>
        <w:t>Le recours doit être admis, le jugement attaqué doit être annulé et la cause doit être renvoyée à la cour cantonale pour nouveau jugement dans le sens des considérants.</w:t>
      </w:r>
    </w:p>
    <w:p>
      <w:r>
        <w:t>Il n'y a pas lieu d'allouer des dépens à l'accusateur public qui obtient gain de cause ( art. 68 al. 3 LTF ).</w:t>
      </w:r>
    </w:p>
    <w:p>
      <w:r>
        <w:t>Comme l'assistance judiciaire a été accordée à l'intimé, il ne sera pas perçu de frais judiciaires et une indemnité sera versée à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