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6B_1306/2015 vom 17. November 2016</w:t>
      </w:r>
    </w:p>
    <w:p>
      <w:r>
        <w:t>Bundesgericht, 2016-11-17, FR</w:t>
      </w:r>
    </w:p>
    <w:p>
      <w:r>
        <w:rPr>
          <w:b/>
        </w:rPr>
        <w:t xml:space="preserve">Quelle: </w:t>
      </w:r>
      <w:r>
        <w:t>https://mcp.opencaselaw.ch/entscheid/bger_6B_1306_2015</w:t>
      </w:r>
    </w:p>
    <w:p>
      <w:r>
        <w:t>FR: TF 6B_1306/2015 du 17 novembre 2016</w:t>
      </w:r>
    </w:p>
    <w:p>
      <w:r>
        <w:t>IT: TF 6B_1306/2015 del 17 novembre 2016</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w:t>
      </w:r>
    </w:p>
    <w:p>
      <w:r>
        <w:rPr>
          <w:b/>
        </w:rPr>
        <w:t>E. 2.2</w:t>
      </w:r>
    </w:p>
    <w:p>
      <w:r>
        <w:t>En l'espèce, le recourant s'estime victime de gestion déloyale et d'escroquerie de la part de l'intimé; il reproche à ce dernier d'avoir détourné à son détriment un montant de EUR 1'369'588,38. Le 8 juin 2012, il a introduit une demande de séquestre auprès du Tribunal civil de Bâle-Ville contre l'intimé, pour une créance de 1'645'149 fr. 56 avec des intérêts de 5 % à partir du 16 avril 2012 (EUR 1'369'588,38). On comprend dès lors qu'il entend obtenir la restitution des avoirs, dont il a demandé le séquestre. Son recours est par conséquent recevable.</w:t>
      </w:r>
    </w:p>
    <w:p>
      <w:r>
        <w:rPr>
          <w:b/>
        </w:rPr>
        <w:t>E. 3</w:t>
      </w:r>
    </w:p>
    <w:p>
      <w:r>
        <w:t>Le recourant reproche à la cour cantonale d'avoir violé le principe "</w:t>
      </w:r>
    </w:p>
    <w:p>
      <w:r>
        <w:t>in dubio pro duriore " et l' art. 319 al. 1 let. a CPP .</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w:t>
      </w:r>
    </w:p>
    <w:p>
      <w:r>
        <w:t>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 arrêt 6B_551/2015 du 24 février 2016 consid. 3).</w:t>
      </w:r>
    </w:p>
    <w:p>
      <w:r>
        <w:rPr>
          <w:b/>
        </w:rPr>
        <w:t>E. 3.2</w:t>
      </w:r>
    </w:p>
    <w:p>
      <w:r>
        <w:t>La cour cantonale a considéré que la titularité de l'intimé sur les avoirs en compte était vraisemblable pour les motifs suivants. En premier lieu, les pièces produites par l'intimé attestaient de la réalité, dès 1999, d'importantes donations du recourant en faveur de ses fils, lesquelles étaient néanmoins portées au crédit de comptes ouverts au nom du donateur. En outre, le recourant avait rédigé en octobre 2006, à savoir postérieurement à l'ouverture des comptes n° 1 et n° 3 auprès de H.________, un testament, dans lequel il a précisé que les comptes en question appartenaient - et non pas seraient dévolus à sa mort - en totalité à ses fils. Dans un écrit, établi en janvier 2011, le recourant avait encore confirmé, pour que la situation soit claire, que les comptes précités ne faisaient pas partie de sa succession et appartenaient à ses fils. Enfin, le recourant a admis que l'intimé a crédité le compte n° 1 du produit de son activité professionnelle.</w:t>
      </w:r>
    </w:p>
    <w:p>
      <w:r>
        <w:rPr>
          <w:b/>
        </w:rPr>
        <w:t>E. 3.3</w:t>
      </w:r>
    </w:p>
    <w:p>
      <w:r>
        <w:t>Contrairement à ce que déclare la cour cantonale, il ne suffit pas que la titularité de l'intimé sur les avoirs litigieux soit vraisemblable. Celle-ci doit être quasi certaine pour qu'une condamnation paraisse moins vraisemblable qu'un acquittement et qu'une ordonnance de classement s'impose. Or, en l'espèce, de nombreux éléments, sur lesquels la cour cantonale ne se prononce pas, peuvent faire douter que les valeurs patrimoniales appartiennent à l'intimé.</w:t>
      </w:r>
    </w:p>
    <w:p>
      <w:r>
        <w:t>Le recourant est le titulaire du compte litigieux et il est aussi indiqué comme étant l'ayant droit économique (arrêt attaqué p. 2 consid. B, let. a).</w:t>
      </w:r>
    </w:p>
    <w:p>
      <w:r>
        <w:t>Le recourant gérait les avoirs en question, donnant des ordres d'investissements et de transferts. Il avait octroyé des procurations à ses deux fils (arrêt attaqué p. 7 consid. B, let. n).</w:t>
      </w:r>
    </w:p>
    <w:p>
      <w:r>
        <w:t>Le gestionnaire de fortunes au sein de la banque H.________ SA et l'avocat du recourant en Israël ont déclaré que les avoirs déposés sur le compte litigieux appartenaient au recourant, mais qu'ils étaient destinés, après sa mort, à son fils, B.X.________ (arrêt attaqué p. 7 consid. B, let. n et et p. 8 consid. B, let. o).</w:t>
      </w:r>
    </w:p>
    <w:p>
      <w:r>
        <w:t>L'intimé avait donné des explications contradictoires quant à la nature de ses droits sur ces avoirs. Il n'a invoqué que tardivement l'existence d'une donation de son père.</w:t>
      </w:r>
    </w:p>
    <w:p>
      <w:r>
        <w:t>La cour d'appel de Bâle, dont le jugement ne lie certes pas la cour cantonale, a estimé que les droits du recourant sur les avoirs séquestrés étaient vraisemblables (arrêt attaqué p. 8 consid. B, let. p).</w:t>
      </w:r>
    </w:p>
    <w:p>
      <w:r>
        <w:t>Enfin, il convient de relever que la cour cantonale se fonde essentiellement sur un acte à cause de mort, qui ne produit ses effets qu'au moment du décès du testateur et qui ne devrait pas donner lieu à des interprétations, tant que celui-ci vit et peut être interrogé sur sa volonté réelle.</w:t>
      </w:r>
    </w:p>
    <w:p>
      <w:r>
        <w:t>Au vu de l'ensemble de ces éléments, la cour de céans ne peut pas considérer qu'il n'y a aucun soupçon de gestion déloyale ou d'autre infraction pénale. Elle ne peut avoir que des doutes sur la titularité de l'intimé sur les avoirs litigieux, de sorte que, conformément au principe "</w:t>
      </w:r>
    </w:p>
    <w:p>
      <w:r>
        <w:t>in dubio pro duriore ", l'instruction doit être poursuivie. La décision de classement doit donc être annulée et la cause renvoyée à la cour cantonale.</w:t>
      </w:r>
    </w:p>
    <w:p>
      <w:r>
        <w:rPr>
          <w:b/>
        </w:rPr>
        <w:t>E. 4</w:t>
      </w:r>
    </w:p>
    <w:p>
      <w:r>
        <w:t>Le recourant qui obtient gain de cause ne supporte pas de frais judiciaires ( art. 66 al. 1 LTF ) et peut prétendre à une indemnité de dépens à la charge du canton de Genève ( art. 68 al. 1 et 2 LTF ), l'intimé ayant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