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6B_1304/2016 vom 8. Dezember 2016</w:t>
      </w:r>
    </w:p>
    <w:p>
      <w:r>
        <w:t>Bundesgericht, 2016-12-08, FR</w:t>
      </w:r>
    </w:p>
    <w:p>
      <w:r>
        <w:rPr>
          <w:b/>
        </w:rPr>
        <w:t xml:space="preserve">Quelle: </w:t>
      </w:r>
      <w:r>
        <w:t>https://mcp.opencaselaw.ch/entscheid/bger_6B_1304_2016</w:t>
      </w:r>
    </w:p>
    <w:p>
      <w:r>
        <w:t>FR: TF 6B_1304/2016 du 8 décembre 2016</w:t>
      </w:r>
    </w:p>
    <w:p>
      <w:r>
        <w:t>IT: TF 6B_1304/2016 del 8 dicembre 2016</w:t>
      </w:r>
    </w:p>
    <w:p>
      <w:pPr>
        <w:pStyle w:val="Heading2"/>
      </w:pPr>
      <w:r>
        <w:t>Erwägungen</w:t>
      </w:r>
    </w:p>
    <w:p>
      <w:r>
        <w:rPr>
          <w:b/>
        </w:rPr>
        <w:t>E. 1</w:t>
      </w:r>
    </w:p>
    <w:p>
      <w:r>
        <w:t>Par arrêt du 14 juillet 2016, la Chambre des recours pénale du Tribunal cantonal vaudois a rejeté dans la mesure où il était recevable, le recours formé par B.________ Sàrl et X.________ et confirmé l'ordonnance de classement rendue le 24 mai 2016 sur la plainte contre A.________ pour appropriation illégitime, vol, abus de confiance, escroquerie, injure, menaces et violation de domicile. Il lui était reproché d'avoir émis une promesse d'achat fallacieuse de la société précitée afin de profiter gratuitement de ses infrastructures et de ses locaux pendant plus d'une année, d'avoir volé du matériel appartenant à cette société et d'en avoir vendu une partie à des tiers. X.________ recourt en matière pénale au Tribunal fédéral contre l'arrêt cantonal. Dans ce cadre, il requiert l'octroi de l'effet suspensif au recours.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 recourant ne se détermine nullement sur un éventuel tort moral ou dommage, ni sur leur principe ni sur leur quotité qu'il n'appartient pas au Tribunal fédéral de déduire de l'écriture dont il est saisi. L'absence d'explication sur la question des prétentions civiles exclut sa qualité pour recourir sur le fond de la cause.</w:t>
      </w:r>
    </w:p>
    <w:p>
      <w:r>
        <w:rPr>
          <w:b/>
        </w:rPr>
        <w:t>E. 2.2</w:t>
      </w:r>
    </w:p>
    <w:p>
      <w:r>
        <w:t>L'hypothèse visée à l'art. 81 al. 1 let. b ch. 6 LTF n'entre pas en considération, le recourant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tant que le recourant invoque une violation de son droit d'être entendu pour le motif qu'il n'a pas été auditionné personnellement par le Ministère public, il invoque un grief irrecevable à défaut d'être séparé du fond.</w:t>
      </w:r>
    </w:p>
    <w:p>
      <w:r>
        <w:rPr>
          <w:b/>
        </w:rPr>
        <w:t>E. 2.4</w:t>
      </w:r>
    </w:p>
    <w:p>
      <w:r>
        <w:t>Sur le vu de ce qui précède, le recours doit être déclaré irrecevable selon la procédure simplifiée prévue par l' art. 108 al. 1 let. a et b LTF .</w:t>
      </w:r>
    </w:p>
    <w:p>
      <w:r>
        <w:rPr>
          <w:b/>
        </w:rPr>
        <w:t>E. 3</w:t>
      </w:r>
    </w:p>
    <w:p>
      <w:r>
        <w:t>Vu l'issue du recours, la requête d'effet suspensif devient sans objet.</w:t>
      </w:r>
    </w:p>
    <w:p>
      <w:r>
        <w:rPr>
          <w:b/>
        </w:rPr>
        <w:t>E. 4</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