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6B_1302/2019 vom 16. Januar 2020</w:t>
      </w:r>
    </w:p>
    <w:p>
      <w:r>
        <w:t>Bundesgericht, 2020-01-16, IT</w:t>
      </w:r>
    </w:p>
    <w:p>
      <w:r>
        <w:rPr>
          <w:b/>
        </w:rPr>
        <w:t xml:space="preserve">Quelle: </w:t>
      </w:r>
      <w:r>
        <w:t>https://mcp.opencaselaw.ch/entscheid/bger_6B_1302_2019</w:t>
      </w:r>
    </w:p>
    <w:p>
      <w:r>
        <w:t>FR: TF 6B_1302/2019 du 16 janvier 2020</w:t>
      </w:r>
    </w:p>
    <w:p>
      <w:r>
        <w:t>IT: TF 6B_1302/2019 del 16 gennaio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della ricorrente.</w:t>
      </w:r>
    </w:p>
    <w:p>
      <w:r>
        <w:rPr>
          <w:b/>
        </w:rPr>
        <w:t>E. 3</w:t>
      </w:r>
    </w:p>
    <w:p>
      <w:r>
        <w:t>Comunicazione alle parti e alla Corte di appello e di revisione penale del Cantone Ticino.</w:t>
      </w:r>
    </w:p>
    <w:p>
      <w:r>
        <w:t>Losanna, 16 gennaio 2020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