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6B_1302/2016 vom 1. März 2017</w:t>
      </w:r>
    </w:p>
    <w:p>
      <w:r>
        <w:t>Bundesgericht, 2017-03-01, DE</w:t>
      </w:r>
    </w:p>
    <w:p>
      <w:r>
        <w:rPr>
          <w:b/>
        </w:rPr>
        <w:t xml:space="preserve">Quelle: </w:t>
      </w:r>
      <w:r>
        <w:t>https://mcp.opencaselaw.ch/entscheid/bger_6B_1302_2016</w:t>
      </w:r>
    </w:p>
    <w:p>
      <w:r>
        <w:t>FR: TF 6B_1302/2016 du 1 mars 2017</w:t>
      </w:r>
    </w:p>
    <w:p>
      <w:r>
        <w:t>IT: TF 6B_1302/2016 del 1 marzo 2017</w:t>
      </w:r>
    </w:p>
    <w:p>
      <w:pPr>
        <w:pStyle w:val="Heading2"/>
      </w:pPr>
      <w:r>
        <w:t>Erwägungen</w:t>
      </w:r>
    </w:p>
    <w:p>
      <w:r>
        <w:rPr>
          <w:b/>
        </w:rPr>
        <w:t>E. 1</w:t>
      </w:r>
    </w:p>
    <w:p>
      <w:r>
        <w:t>Die Beschwerde richtet sich dagegen, dass die Staatsanwaltschaft des Kantons Zürich eine vom Beschwerdeführer namentlich gegen das Migrationsamt und die Polizei des Kantons Zürich eingeleitete Strafuntersuchung am 26. Juli 2016 nicht an die Hand genommen und das Obergericht des Kantons Zürich eine dagegen gerichtete Beschwerde am 18. Oktober 2016 abgewiesen hat. Es seien keine Anhaltspunkte erkennbar, dass eine Straftat zum Nachteil des Beschwerdeführers begangen worden sei.</w:t>
      </w:r>
    </w:p>
    <w:p>
      <w:r>
        <w:t>Der Beschwerdeführer wendet sich mit Beschwerde in Strafsachen an das Bundesgericht. Er ficht den Beschluss vom 18. Oktober 2016 insofern an, als die Vorinstanz die Nichtanhandnahme des Verfahrens gegen die Polizei und das Migrationsamt des Kantons Zürich geschützt hat. Das Migrationsamt habe ihm im Juni/Juli 2012 den B-Ausweis und damit seine Grundrechte und seine Freiheit entzogen. In der Folge sei er zwischen Juni 2012 und November 2013 mehrmals von der Zürcher Polizei aufgehalten, kontrolliert und inhaftiert worden. Er mache "Anzeige gegen das Migrationsamt des Kantons Zürich und die Zürcher Polizei". Am 20. Februar 2017 reichte der Beschwerdeführer das Schreiben des Migrationsamtes des Kantons Zürich vom 22. Juni 2012 ein.</w:t>
      </w:r>
    </w:p>
    <w:p>
      <w:r>
        <w:rPr>
          <w:b/>
        </w:rPr>
        <w:t>E. 2</w:t>
      </w:r>
    </w:p>
    <w:p>
      <w:r>
        <w:t>Die Privatklägerschaft ist auch bei einer Nichtanhandnahme oder Einstellung des Strafverfahrens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 6B_530/2013 vom 13. September 2013).</w:t>
      </w:r>
    </w:p>
    <w:p>
      <w:r>
        <w:t>Gemäss § 6 i.V.m. § 1 Abs. 1 des zürcherischen Haftungsgesetzes vom 14. September 1969 (LS 170.1) haftet der Kanton für den Schaden, den ein Mitglied einer Behörde oder eine in seinem Dienst stehende Person in Ausübung amtlicher Verrichtungen einem Dritten widerrechtlich zufügt (Abs. 1). Dem Geschädigten steht kein Anspruch gegen den Beschuldigten zu (Abs. 4). Allfällige Schadenersatz- und Genugtuungsansprüche des Beschwerdeführers gegen angeblich fehlbare Angestellte des Migrationsamts und der Polizei des Kantons Zürich beurteilen sich demnach ausschliesslich nach dem Haftungsgesetz des Kantons Zürich und sind deshalb öffentlich-rechtlicher Natur. Insofern ist der Beschwerdeführer zum vorliegenden Rechtsmittel nicht legitimiert. Schon deswegen kann auf die Beschwerde nicht eingetreten werden. Im Übrigen ist auch nicht ersichtlich, inwiefern der angefochtene Beschluss der Vorinstanz rechts- oder verfassungswidrig sein könnte. Der Beschwerdeführer unterlässt es, sich mit den Erwägungen der Vorinstanz substanziert auseinanderzusetzen. Die Beschwerde genügt den gesetzlichen Formerfordernissen ( Art. 42 Abs. 2 und Art. 106 Abs. 2 BGG ) nicht. Auf die Beschwerde ist im vereinfachten Verfahren nach Art. 108 BGG nicht einzutreten.</w:t>
      </w:r>
    </w:p>
    <w:p>
      <w:r>
        <w:rPr>
          <w:b/>
        </w:rPr>
        <w:t>E. 3</w:t>
      </w:r>
    </w:p>
    <w:p>
      <w:r>
        <w:t>Bei diesem Ausgang des Verfahrens sind die Gerichtskosten dem Beschwerdeführer aufzuerlegen ( Art.66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