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129/2010 vom 10. Juni 2010</w:t>
      </w:r>
    </w:p>
    <w:p>
      <w:r>
        <w:t>Bundesgericht, 2010-06-10, FR</w:t>
      </w:r>
    </w:p>
    <w:p>
      <w:r>
        <w:rPr>
          <w:b/>
        </w:rPr>
        <w:t xml:space="preserve">Quelle: </w:t>
      </w:r>
      <w:r>
        <w:t>https://mcp.opencaselaw.ch/entscheid/bger_6B_129_2010</w:t>
      </w:r>
    </w:p>
    <w:p>
      <w:r>
        <w:t>FR: TF 6B 129/2010 du 10 juin 2010</w:t>
      </w:r>
    </w:p>
    <w:p>
      <w:r>
        <w:t>IT: TF 6B 129/2010 del 10 giugno 2010</w:t>
      </w:r>
    </w:p>
    <w:p>
      <w:pPr>
        <w:pStyle w:val="Heading2"/>
      </w:pPr>
      <w:r>
        <w:t>Regeste</w:t>
      </w:r>
    </w:p>
    <w:p>
      <w:r>
        <w:t>Violation grave des règles de la loi fédérale sur la circulation routière | Infractions</w:t>
      </w:r>
    </w:p>
    <w:p>
      <w:pPr>
        <w:pStyle w:val="Heading2"/>
      </w:pPr>
      <w:r>
        <w:t>Erwägungen</w:t>
      </w:r>
    </w:p>
    <w:p>
      <w:r>
        <w:rPr>
          <w:b/>
        </w:rPr>
        <w:t>E. 1</w:t>
      </w:r>
    </w:p>
    <w:p>
      <w:r>
        <w:t>Dans le canton de Vaud, les jugements rendus sur appel d'un prononcé préfectoral en matière de délits et de contraventions de droit fédéral sont définitifs (art. 80a al. 2 de la Loi vaudoise sur les contraventions du 18 novembre 1969 [RS/VD 312.11; LContr/VD]). Ces décisions sont rendues en seconde instance cantonale ( ATF 127 IV 220 consid. 1b p. 223 s.). Elles sont donc susceptibles de faire l'objet d'un recours en matière pénale ( art. 80 al. 1 LTF ). Le jugement sur appel ne porte, en revanche, que sur la sanction pénale, à l'exclusion des mesures administratives. Les conclusions relatives au retrait de permis sont irrecevables, faute de décision de dernière instance cantonale sur ce point ( art. 80 al. 1 LTF ).</w:t>
      </w:r>
    </w:p>
    <w:p>
      <w:r>
        <w:rPr>
          <w:b/>
        </w:rPr>
        <w:t>E. 2</w:t>
      </w:r>
    </w:p>
    <w:p>
      <w:r>
        <w:t>La recourante discute uniquement la valeur probante de la mesure de sa vitesse. Elle fait valoir que les Instructions techniques concernant les contrôles de vitesse dans la circulation routière édictées par le Département fédéral de l'Environnement, des transports, de l'énergie et de la communication n'auraient pas été respectées lors du contrôle, ou tout au moins que le respect de ces dispositions ne serait pas établi. La recourante relève ainsi qu'un procès-verbal des mesures de vitesse comportant l'étalonnage du radar n'a pas été établi, respectivement qu'il ne figure pas au dossier. Elle soutient que le radar était mal réglé en soulignant n'avoir jamais commis d'infraction en vingt-quatre ans de conduite. La recourante n'invoque pas expressément l'interdiction de l'arbitraire ( art. 9 Cst. ). Etant précisé que les instructions en cause ne constituent pas du droit fédéral au sens des art. 95 let. a et 105 LTF (v. infra consid. 2.2), la recevabilité du grief apparaît douteuse ( art. 106 al. 2 LTF ). Cette question peut toutefois demeurer indécise pour les motifs suivants.</w:t>
      </w:r>
    </w:p>
    <w:p>
      <w:r>
        <w:rPr>
          <w:b/>
        </w:rPr>
        <w:t>E. 2.1</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 art. 9 al. 2 OCCR ,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(OOCCR-OFROU; RS 741.013.1; RO 2008 2447), ainsi que, en accord avec l'Office fédéral de métrologie (METAS), des Instructions concernant les contrôles de vitesse par la police et la surveillance de la circulation aux feux rouges. Les art. 6 à 9 OOCCR-OFROU précisent notamment les types de mesures (art. 6 et 7), les marges de sécurité (art. 8) ainsi que les exigences relatives à la documentation des vitesses mesurées, soit essentiellement la prise de photographies (art. 9). Le ch. II.5 des instructions, relatif aux contrôles au moyen de systèmes immobiles surveillés par un personnel spécialisé, précise que le procès-verbal, qui doit être rédigé pour chaque série de mesures effectuées au même endroit, indiquera la date, l'heure et le lieu des mesures effectuées, le sens de circulation des véhicules contrôlés, la vitesse maximale autorisée sur le lieu des mesures, la désignation du système de mesure de vitesse, avec le n° METAS, la date de la dernière vérification, la confirmation de l'exécution des tests de fonctionnement prescrits ainsi que la personne responsable du contrôle (nom ou signature lisible). Les événements particuliers doivent figurer au procès-verbal.</w:t>
      </w:r>
    </w:p>
    <w:p>
      <w:r>
        <w:rPr>
          <w:b/>
        </w:rPr>
        <w:t>E. 2.2</w:t>
      </w:r>
    </w:p>
    <w:p>
      <w:r>
        <w:t>Les instructions techniques concernant les contrôles de vitesse dans la circulation routière constituent de simples recommandations, qui n'ont pas force de loi et ne lient pas le juge ( ATF 123 II 106 consid. 2e p. 113; 121 IV 64 consid. 3 p. 66; 102 IV 271 ). Le juge pénal n'est donc en principe pas restreint dans son pouvoir de libre appréciation des preuves et peut, sur la base d'une appréciation non arbitraire de l'ensemble des éléments à sa disposition, parvenir à la conclusion que le prévenu a circulé à la vitesse indiquée dans le rapport alors même qu'elle n'aurait pas été mesurée selon les recommandations émises dans ces instructions (arrêt du Tribunal fédéral du 24 janvier 2008, 1C_345/2007, consid. 4.1 in JdT 2008 I 449). En l'espèce, le procès-verbal prévu au ch. II.5 des Instructions de l'OFROU ne figure pas formellement au dossier de la cause. Toutefois, interpellé par l'autorité de première instance, le Bureau radar de la police cantonale a attesté que les mesures avaient été effectuées au moyen d'un système cinémométrique radar Multanova 6F-2, No 04-10-2371 et d'une caméra numérique robot SmartCam I M 1.4 Multanova 1.85 No 625-000. Les certificats de vérification de ces appareils, valables au moment du contrôle, ont été produits. Il a aussi été confirmé que l'appareil de mesure avait été installé par le sergent A.________, le 13 mai 2009, de 16h35 à 17h35 et que ce policier attestait avoir effectué correctement l'alignement de l'antenne ainsi que la vérification de fonctionnement automatique (check-up) à l'enclenchement du système, complétés par des photographies tests en début et en fin de contrôle. Ces déclarations, qui émanent d'un agent assermenté, confirment pour l'essentiel que les exigences qui doivent, dans la règle, être attestées par le procès-verbal de la série de mesures ont été respectées, soit, en particulier qu'un contrôle de fonctionnement de l'appareil a été effectué préalablement. Le fait que cette confirmation n'a été fournie qu'après coup ne justifie pas de nier toute force probante aux relevés effectués. Il s'ensuit que le grief soulevé par la recourante ne suffit pas à remettre en cause les constatations de fait qui fondent sa condamnation pour violation grave des règles de la circulation routière.</w:t>
      </w:r>
    </w:p>
    <w:p>
      <w:r>
        <w:rPr>
          <w:b/>
        </w:rPr>
        <w:t>E. 3</w:t>
      </w:r>
    </w:p>
    <w:p>
      <w:r>
        <w:t>La recourante succombe. Elle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