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1299/2021 vom 6. Dezember 2021</w:t>
      </w:r>
    </w:p>
    <w:p>
      <w:r>
        <w:t>Bundesgericht, 2021-12-06, FR</w:t>
      </w:r>
    </w:p>
    <w:p>
      <w:r>
        <w:rPr>
          <w:b/>
        </w:rPr>
        <w:t xml:space="preserve">Quelle: </w:t>
      </w:r>
      <w:r>
        <w:t>https://mcp.opencaselaw.ch/entscheid/bger_6B_1299_2021</w:t>
      </w:r>
    </w:p>
    <w:p>
      <w:r>
        <w:t>FR: TF 6B 1299/2021 du 6 décembre 2021</w:t>
      </w:r>
    </w:p>
    <w:p>
      <w:r>
        <w:t>IT: TF 6B 1299/2021 del 6 dicembre 2021</w:t>
      </w:r>
    </w:p>
    <w:p>
      <w:pPr>
        <w:pStyle w:val="Heading2"/>
      </w:pPr>
      <w:r>
        <w:t>Regeste</w:t>
      </w:r>
    </w:p>
    <w:p>
      <w:r>
        <w:t>Irrecevabilité formelle du recours en matière pénale (ordonnance de classement, blanchiment d'argent) | Procédure pénale</w:t>
      </w:r>
    </w:p>
    <w:p>
      <w:pPr>
        <w:pStyle w:val="Heading2"/>
      </w:pPr>
      <w:r>
        <w:t>Erwägungen</w:t>
      </w:r>
    </w:p>
    <w:p>
      <w:r>
        <w:rPr>
          <w:b/>
        </w:rPr>
        <w:t>E. 1</w:t>
      </w:r>
    </w:p>
    <w:p>
      <w:r>
        <w:t>Par arrêt du 16 juin 2020, la Chambre pénale de recours de la Cour de justice de la République et canton de Genève a déclaré irrecevable le recours formé par A.A.________ contre l'ordonnance du 11 octobre 2019 par laquelle le Ministère public genevois a classé la procédure ouverte le 6 janvier 2015 contre inconnu pour blanchiment d'argent. Par arrêt du 22 mars 2021 (6B_931/2020), le Tribunal fédéral a admis le recours en matière pénale formé par A.A.________ contre l'arrêt précité, annulé celui-ci et renvoyé la cause à l'autorité précédente pour nouvelle décision. Statuant à la suite de l'arrêt de renvoi du Tribunal fédéral, la Chambre pénale de recours de la Cour de justice genevoise a, par arrêt du 6 octobre 2021, rejeté, dans la mesure de sa recevabilité, le recours formé par A.A.________ contre l'ordonnance de classement du 11 octobre 2019. En substance, elle a estimé que A.A.________ n'était pas directement lésé par l'infraction de faux dans les titres qu'il dénonçait si bien qu'il ne disposait pas de la qualité pour recourir sur ce point. Pour le surplus, elle a considéré que l'infraction de blanchiment d'argent n'était pas réalisée, faute de crime préalable. A.A.________ forme un recours en matière pénale au Tribunal fédéral contre l'arrêt du 6 octobre 2021. En substance, il conclut, avec suite de frais et dépens, principalement, à l'annulation de l'arrêt attaqué et à ce qu'il soit ordonné au ministère public de poursuivre la procédure contre B.________ et tout autre auteur et de dresser un acte d'accusation en temps voulu. Subsidiairement, il conclut au renvoi de la cause à l'autorité précédente pour décision sur la question de la prescription.</w:t>
      </w:r>
    </w:p>
    <w:p>
      <w:r>
        <w:rPr>
          <w:b/>
        </w:rPr>
        <w:t>E. 2</w:t>
      </w:r>
    </w:p>
    <w:p>
      <w:r>
        <w:t>Le recourant procède en allemand. Ce choix n'impose pas de déroger à la règle selon laquelle la langue de la procédure est généralement celle de la décision attaquée ( art. 54 al. 1 LTF ), soit le français.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3.2</w:t>
      </w:r>
    </w:p>
    <w:p>
      <w:r>
        <w:t>Le recourant ne conteste pas l'irrecevabilité de son recours cantonal s'agissant de l'infraction de faux dans les titres. Pour le surplus, s'agissant de l'infraction de blanchiment d'argent, le recourant ne consacre aucun développement à son éventuel dommage ou tort moral, ni sur leur principe, ni sur leur quotité. L'absence d'explications sur la question des prétentions civiles exclut sa qualité pour recourir sur le fond de la cause.</w:t>
      </w:r>
    </w:p>
    <w:p>
      <w:r>
        <w:rPr>
          <w:b/>
        </w:rPr>
        <w:t>E. 3.3</w:t>
      </w:r>
    </w:p>
    <w:p>
      <w:r>
        <w:t>L'hypothèse visée à l'art. 81 al. 1 let. b ch. 6 LTF n'entre pas en considération, le recourant ne soulevant aucun grief quant à son droit de porter plainte.</w:t>
      </w:r>
    </w:p>
    <w:p>
      <w:r>
        <w:rPr>
          <w:b/>
        </w:rPr>
        <w:t>E. 4</w:t>
      </w:r>
    </w:p>
    <w:p>
      <w:r>
        <w:t>Faute de satisfaire aux conditions de recevabilité d'un recours en matière pénale au Tribunal fédéral ( art. 42 al. 1 et 2 LTF ), le recours doit être écarté en application de l' art. 108 al. 1 let. a et b LTF . Le recourant, qui succombe, supporte les frais judiciaires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