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1298/2019 vom 12. Dezember 2019</w:t>
      </w:r>
    </w:p>
    <w:p>
      <w:r>
        <w:t>Bundesgericht, 2019-12-12, FR</w:t>
      </w:r>
    </w:p>
    <w:p>
      <w:r>
        <w:rPr>
          <w:b/>
        </w:rPr>
        <w:t xml:space="preserve">Quelle: </w:t>
      </w:r>
      <w:r>
        <w:t>https://mcp.opencaselaw.ch/entscheid/bger_6B_1298_2019</w:t>
      </w:r>
    </w:p>
    <w:p>
      <w:r>
        <w:t>FR: TF 6B 1298/2019 du 12 décembre 2019</w:t>
      </w:r>
    </w:p>
    <w:p>
      <w:r>
        <w:t>IT: TF 6B 1298/2019 del 12 dicembre 2019</w:t>
      </w:r>
    </w:p>
    <w:p>
      <w:pPr>
        <w:pStyle w:val="Heading2"/>
      </w:pPr>
      <w:r>
        <w:t>Regeste</w:t>
      </w:r>
    </w:p>
    <w:p>
      <w:r>
        <w:t>Refus de la libération conditionnelle ; irrecevabilité formelle du recours | Exécution des peines et des mesures</w:t>
      </w:r>
    </w:p>
    <w:p>
      <w:pPr>
        <w:pStyle w:val="Heading2"/>
      </w:pPr>
      <w:r>
        <w:t>Erwägungen</w:t>
      </w:r>
    </w:p>
    <w:p>
      <w:r>
        <w:rPr>
          <w:b/>
        </w:rPr>
        <w:t>E. 1</w:t>
      </w:r>
    </w:p>
    <w:p>
      <w:r>
        <w:t>Par jugement du 25 février 2000, le Tribunal criminel du district de Morges a condamné A.________ à la réclusion à vie. Le prénommé est incarcéré depuis le 25 septembre 1996. Par décision du 14 octobre 2019, le Collège des juges d'application des peines vaudois a refusé d'accorder à A.________ la libération conditionnelle. Par arrêt du 28 octobre 2019, la Chambre des recours pénale du Tribunal cantonal du canton de Vaud a rejeté le recours formé par A.________ contre la décision du 14 octobre 2019 et a confirmé celle-ci. A.________ forme un recours en matière pénale au Tribunal fédéral contre l'arrêt du 28 octobre 2019, en concluant à l'octroi de la libération conditionnelle. Il sollicite par ailleurs le bénéfice de l'assistance judiciaire.</w:t>
      </w:r>
    </w:p>
    <w:p>
      <w:r>
        <w:rPr>
          <w:b/>
        </w:rPr>
        <w:t>E. 2</w:t>
      </w:r>
    </w:p>
    <w:p>
      <w:r>
        <w:t>Conformément à l' art. 42 al. 1 LTF , le mémoire de recours doit être motivé et contenir des conclusions. Celles-ci doivent exprimer sur quels points la décision entreprise doit être modifiée et comment. Les motifs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le Tribunal fédéral est lié par les constatations de fait de la décision entreprise ( art. 105 al. 1 LTF ), sous les réserves découlant des art. 97 al. 1 et 105 al. 2 LTF, soit pour l'essentiel de l'arbitraire dans la constatation des faits. Il n'examine la violation de droits fondamentaux que si ce moyen est invoqué et motivé par le recourant ( art. 106 al. 2 LTF ), c'est-à-dire s'il a été expressément soulevé et exposé de manière claire et détaillée. Les critiques de nature appellatoire sont irrecevables ( ATF 145 IV 154 consid. 1.1 p. 156 et les références citées). En l'espèce, c'est en vain que l'on cherche, dans les écritures du recourant, un grief topique dirigé contre l'arrêt attaqué, l'intéressé consacrant intégralement son argumentation à rediscuter sa condamnation datant de 2000, ce qui n'était aucunement l'objet de la décision de la cour cantonale. Faute de satisfaire aux conditions de recevabilité d'un recours en matière pénale au Tribunal fédéral (cf. art. 42 al. 2 ; 106 al. 2 LTF ), le recours doit être déclaré irrecevable en application de l' art. 108 al. 1 let. b LTF .</w:t>
      </w:r>
    </w:p>
    <w:p>
      <w:r>
        <w:rPr>
          <w:b/>
        </w:rPr>
        <w:t>E. 3</w:t>
      </w:r>
    </w:p>
    <w:p>
      <w:r>
        <w:t>Le recours est irrecevable. Comme il était dépourvu de chance de succès, l'assistance judiciaire doit être refusée ( art. 64 al. 1 LTF ). Le recourant, qui succombe, supporte les frais judiciaires. Ceux-ci seront fixés en tenant compte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