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1296/2015 vom 17. Februar 2016</w:t>
      </w:r>
    </w:p>
    <w:p>
      <w:r>
        <w:t>Bundesgericht, 2016-02-17, DE</w:t>
      </w:r>
    </w:p>
    <w:p>
      <w:r>
        <w:rPr>
          <w:b/>
        </w:rPr>
        <w:t xml:space="preserve">Quelle: </w:t>
      </w:r>
      <w:r>
        <w:t>https://mcp.opencaselaw.ch/entscheid/bger_6B_1296_2015</w:t>
      </w:r>
    </w:p>
    <w:p>
      <w:r>
        <w:t>FR: TF 6B 1296/2015 du 17 février 2016</w:t>
      </w:r>
    </w:p>
    <w:p>
      <w:r>
        <w:t>IT: TF 6B 1296/2015 del 17 febbraio 2016</w:t>
      </w:r>
    </w:p>
    <w:p>
      <w:pPr>
        <w:pStyle w:val="Heading2"/>
      </w:pPr>
      <w:r>
        <w:t>Regeste</w:t>
      </w:r>
    </w:p>
    <w:p>
      <w:r>
        <w:t>Einstellungsverfügung (unrechtmässige Aneignung, Amtsmissbrauch) | Strafprozess</w:t>
      </w:r>
    </w:p>
    <w:p>
      <w:pPr>
        <w:pStyle w:val="Heading2"/>
      </w:pPr>
      <w:r>
        <w:t>Erwägungen</w:t>
      </w:r>
    </w:p>
    <w:p>
      <w:r>
        <w:rPr>
          <w:b/>
        </w:rPr>
        <w:t>E. 1</w:t>
      </w:r>
    </w:p>
    <w:p>
      <w:r>
        <w:t>Am 17. Januar 2014 erstattete der Beschwerdeführer Strafanzeige gegen zwei (ehemalige) Mitglieder der Vormundschaftsbehörde Val Müstair wegen unrechtmässiger Aneignung und Amtsmissbrauchs. Die zuständige Staatsanwaltschaft stellte das Strafverfahren am 22. Mai 2015 ein. Auf eine dagegen erhobene Beschwerde trat das Kantonsgericht Graubünden am 17. September 2015 nicht ein. Der Beschwerdeführer wendet sich mit Beschwerde an das Bundesgericht, ohne einen eigentlichen Antrag zu stellen.</w:t>
      </w:r>
    </w:p>
    <w:p>
      <w:r>
        <w:rPr>
          <w:b/>
        </w:rPr>
        <w:t>E. 2</w:t>
      </w:r>
    </w:p>
    <w:p>
      <w:r>
        <w:t>Gegenstand des bundesgerichtlichen Verfahrens kann nur sein, ob die Vorinstanz gegen das Recht im Sinne von Art. 95 BGG verstossen hat, indem sie auf die bei ihr hängige Beschwerde nicht eingetreten ist. Mit dieser Frage befasst sich der Beschwerdeführer nicht. Er setzt sich vor Bundesgericht nur mit der materiellen Seite der Angelegenheit auseinander, welche nicht Verfahrensgegenstand bildet und worauf das Bundesgericht nicht eintreten kann. Seine Beschwerdeeingabe genügt mithin den Begründungsanforderungen nicht ( Art. 42 Abs. 2 und Art. 106 Abs. 2 BGG ). Auf die Beschwerde ist im Verfahren nach Art. 108 BGG nicht einzutreten. Ob der Beschwerdeführer unter dem Gesichtswinkel von Art. 81 Abs. 1 lit. b Ziff. 5 BGG zur Beschwerde in Strafsachen überhaupt legitimiert ist, kann unter diesen Umständen offenbleiben.</w:t>
      </w:r>
    </w:p>
    <w:p>
      <w:r>
        <w:rPr>
          <w:b/>
        </w:rPr>
        <w:t>E. 3</w:t>
      </w:r>
    </w:p>
    <w:p>
      <w:r>
        <w:t>Die Gerichtskosten werden dem Beschwerdeführer auferlegt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