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1293/2019 vom 22. November 2019</w:t>
      </w:r>
    </w:p>
    <w:p>
      <w:r>
        <w:t>Bundesgericht, 2019-11-22, DE</w:t>
      </w:r>
    </w:p>
    <w:p>
      <w:r>
        <w:rPr>
          <w:b/>
        </w:rPr>
        <w:t xml:space="preserve">Quelle: </w:t>
      </w:r>
      <w:r>
        <w:t>https://mcp.opencaselaw.ch/entscheid/bger_6B_1293_2019</w:t>
      </w:r>
    </w:p>
    <w:p>
      <w:r>
        <w:t>FR: TF 6B 1293/2019 du 22 novembre 2019</w:t>
      </w:r>
    </w:p>
    <w:p>
      <w:r>
        <w:t>IT: TF 6B 1293/2019 del 22 novembre 2019</w:t>
      </w:r>
    </w:p>
    <w:p>
      <w:pPr>
        <w:pStyle w:val="Heading2"/>
      </w:pPr>
      <w:r>
        <w:t>Regeste</w:t>
      </w:r>
    </w:p>
    <w:p>
      <w:r>
        <w:t>Nichtleisten des Prozesskostenvorschusses; Rückzug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20. November (eingegangen am 22. November) 2019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