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6B_1293/2017 vom 23. März 2018</w:t>
      </w:r>
    </w:p>
    <w:p>
      <w:r>
        <w:t>Bundesgericht, 2018-03-23, DE</w:t>
      </w:r>
    </w:p>
    <w:p>
      <w:r>
        <w:rPr>
          <w:b/>
        </w:rPr>
        <w:t xml:space="preserve">Quelle: </w:t>
      </w:r>
      <w:r>
        <w:t>https://mcp.opencaselaw.ch/entscheid/bger_6B_1293_2017</w:t>
      </w:r>
    </w:p>
    <w:p>
      <w:r>
        <w:t>FR: TF 6B_1293/2017 du 23 mars 2018</w:t>
      </w:r>
    </w:p>
    <w:p>
      <w:r>
        <w:t>IT: TF 6B_1293/2017 del 23 marzo 2018</w:t>
      </w:r>
    </w:p>
    <w:p>
      <w:pPr>
        <w:pStyle w:val="Heading2"/>
      </w:pPr>
      <w:r>
        <w:t>Erwägungen</w:t>
      </w:r>
    </w:p>
    <w:p>
      <w:r>
        <w:rPr>
          <w:b/>
        </w:rPr>
        <w:t>E. 1.1</w:t>
      </w:r>
    </w:p>
    <w:p>
      <w:r>
        <w:t>Der Beschwerdeführer wendet sich ausschliesslich gegen die Verurteilungen wegen Diebstahls, Hausfriedensbruchs sowie Sachbeschädigung und rügt eine willkürliche Sachverhaltsfeststellung. Die angefochtenen Schuldsprüche betreffen alle denselben Einbruchdiebstahl.</w:t>
      </w:r>
    </w:p>
    <w:p>
      <w:r>
        <w:rPr>
          <w:b/>
        </w:rPr>
        <w:t>E. 1.2</w:t>
      </w:r>
    </w:p>
    <w:p>
      <w:r>
        <w:t>Die Vorinstanz erwägt dazu, der Beschwerdeführer sei durch ein Toilettenfenster in die Büroräumlichkeiten einer Unternehmung eingedrungen, habe dort einen Aktenschrank aufgebrochen, die Türe zum Kaffeeautomaten beschädigt und Bargeld entwendet. Am Tatort sei eine Blutspur gefunden worden, welche eindeutig seinem DNA-Profil habe zugeordnet werden können. Gemäss seinen eigenen Aussagen und den Angaben des Unternehmens habe er sich sonst nie am Tatort aufgehalten. Der Beschwerdeführer habe behauptet, die Blutspur sei von Dritten gelegt worden, um den Tatverdacht auf ihn zu lenken. Dies hätte aber eines erheblichen Fachwissens bedurft, weil es sich um eine reine Blutspur handle und nicht bloss um eine Mischspur. Der Beschwerdeführer habe anfänglich nicht angeben wollen, welchen ihm übel gesinnten Personen er eine solche Tat zutrauen würde, obwohl er angeblich einige Personen verdächtigt habe. Erst an der Berufungsverhandlung habe er seinen Stiefbruder genannt. Dazu erwägt die Vorinstanz, es gebe keinerlei Hinweise darauf, dass der Stiefbruder zum Blut des Beschwerdeführers habe kommen können. Ebenso bestünden keine Hinweise, dass der Stiefbruder über das Wissen verfüge, um eine solche Blutspur zu legen. Ein Motiv sei nicht ersichtlich. Aus dem Umstand, dass nur eine von vier DNA-Spuren ausgewertet worden sei, lasse sich nichts gegen die Täterschaft des Beschwerdeführers ableiten. Auch sei nicht massgebend, wie und an welcher Körperstelle er sich verletzt habe, als er die Blutspur hinterlassen habe.</w:t>
      </w:r>
    </w:p>
    <w:p>
      <w:r>
        <w:rPr>
          <w:b/>
        </w:rPr>
        <w:t>E. 1.3.1</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142 III 364 E. 2.4 S. 368 mit Hinweisen).</w:t>
      </w:r>
    </w:p>
    <w:p>
      <w:r>
        <w:rPr>
          <w:b/>
        </w:rPr>
        <w:t>E. 1.3.2</w:t>
      </w:r>
    </w:p>
    <w:p>
      <w:r>
        <w:t>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w:t>
      </w:r>
    </w:p>
    <w:p>
      <w:r>
        <w:rPr>
          <w:b/>
        </w:rPr>
        <w:t>E. 1.4</w:t>
      </w:r>
    </w:p>
    <w:p>
      <w:r>
        <w:t>Der Beschwerdeführer bestreitet nicht, dass die am Tatort aufgefundene Blutspur mit seinem DNA-Profil übereinstimmt. Er anerkennt auch, es sei eher gewagt zu behaupten, die DNA-Spur sei von Dritten am Tatort angebracht worden. Trotzdem seien Zweifel angebracht. Es sei durchaus denkbar, dass sich eine andere Beweislage ergebe, sollten durch die Auswertung weiterer DNA-Spuren möglicherweise weitere Täter ausfindig gemacht werden können.</w:t>
      </w:r>
    </w:p>
    <w:p>
      <w:r>
        <w:rPr>
          <w:b/>
        </w:rPr>
        <w:t>E. 1.5</w:t>
      </w:r>
    </w:p>
    <w:p>
      <w:r>
        <w:t>Diese Vorbringen sind offensichtlich ungeeignet, um die vorinstanzliche Beweiswürdigung sowie den Verzicht auf die Auswertung weiterer DNA-Spuren als unhaltbar erscheinen zu lassen. Der Beschwerdeführer bringt nichts vor, was die vorinstanzliche Sachverhaltsfeststellung in Zweifel ziehen könnte. Die Beschwerde ist unbegründet, soweit sie den Anforderungen von Art. 42 Abs. 2 und Art. 106 Abs. 2 BGG überhaupt genügt.</w:t>
      </w:r>
    </w:p>
    <w:p>
      <w:r>
        <w:rPr>
          <w:b/>
        </w:rPr>
        <w:t>E. 2</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