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6B_1292/2017 vom 21. Juni 2018</w:t>
      </w:r>
    </w:p>
    <w:p>
      <w:r>
        <w:t>Bundesgericht, 2018-06-21, FR</w:t>
      </w:r>
    </w:p>
    <w:p>
      <w:r>
        <w:rPr>
          <w:b/>
        </w:rPr>
        <w:t xml:space="preserve">Quelle: </w:t>
      </w:r>
      <w:r>
        <w:t>https://mcp.opencaselaw.ch/entscheid/bger_6B_1292_2017</w:t>
      </w:r>
    </w:p>
    <w:p>
      <w:r>
        <w:t>FR: TF 6B_1292/2017 du 21 juin 2018</w:t>
      </w:r>
    </w:p>
    <w:p>
      <w:r>
        <w:t>IT: TF 6B_1292/2017 del 21 giugno 2018</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Outre le remboursement des frais d'avocat - qui de jurisprudence constante ne constituent pas des prétentions civiles au sens de l'art. 81 al. 1 let. b ch. 5 LTF (cf. parmi tant d'autres : arrêt 6B_874/2017 du 18 avril 2018 consid. 2.2.3) -, le recourant demande l'allocation d'une indemnité de 1000 fr. en réparation de son tort moral.</w:t>
      </w:r>
    </w:p>
    <w:p>
      <w:r>
        <w:rPr>
          <w:b/>
        </w:rPr>
        <w:t>E. 1.2.1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ou d'incapacité de travail, de même que les préjudices psychiques importants (arrêt 6B_128/2017 du 9 novembre 2017 consid. 5.1; cf. ATF 141 III 97 consid. 11.2 p. 98; 132 II 117 consid. 2.2.2 p. 119).</w:t>
      </w:r>
    </w:p>
    <w:p>
      <w:r>
        <w:rPr>
          <w:b/>
        </w:rPr>
        <w:t>E. 1.2.2</w:t>
      </w:r>
    </w:p>
    <w:p>
      <w:r>
        <w:t>Il ressort de l'arrêt entrepris qu'à la suite de son altercation avec l'intimé, le recourant a souffert de douleurs et de tuméfactions au visage ainsi que de griffures au bras gauche. Si ces blessures avaient été attestées par le médecin traitant du recourant le lendemain des faits (cf. dossier cantonal, P. 7/3), la cour cantonale a toutefois estimé qu'elles étaient de nature à se résorber rapidement, de sorte qu'elles n'entraient pas dans le champ d'application des lésions corporelles simples ( art. 123 CP ), mais dans celui des voies de fait ( art. 126 CP ).</w:t>
      </w:r>
    </w:p>
    <w:p>
      <w:r>
        <w:rPr>
          <w:b/>
        </w:rPr>
        <w:t>E. 1.2.3</w:t>
      </w:r>
    </w:p>
    <w:p>
      <w:r>
        <w:t>Compte tenu de la nature des blessures subies par le recourant, on ne saurait déduire directement de l'état de fait cantonal l'existence de circonstances particulières pouvant justifier l'allocation d'une indemnité pour tort moral au sens de l' art. 47 CO , étant observé que le texte de cette disposition vise la "victime de lésions corporelles" et non celle de voies de fait.</w:t>
      </w:r>
    </w:p>
    <w:p>
      <w:r>
        <w:t>Si le recourant conteste l'appréciation de la cour cantonale quant à la qualification juridique de ses blessures et soutient que l'intimé s'est rendu coupable de lésions corporelles simples, il n'explique pas pour autant en quoi l'atteinte subie à son intégrité physique ou psychique a eu des conséquences telles qu'elles justifiaient l'allocation d'une indemnité pour tort moral. Le recourant n'allègue notamment pas avoir été hospitalisé à la suite de l'altercation, ni avoir été en incapacité de travail. Il ne prétend pas non plus avoir souffert de douleurs particulièrement importantes, d'une atteinte durable à sa santé physique ou de préjudices d'ordre psychique ayant nécessité un suivi médical allant au-delà d'une simple consultation chez son médecin traitant.</w:t>
      </w:r>
    </w:p>
    <w:p>
      <w:r>
        <w:rPr>
          <w:b/>
        </w:rPr>
        <w:t>E. 1.2.4</w:t>
      </w:r>
    </w:p>
    <w:p>
      <w:r>
        <w:t>Par ailleurs, le recourant n'explique pas en quoi il aurait été victime, en raison des agissements de l'intimé, d'une autre atteinte à sa personnalité, par exemple d'une atteinte à son honneur, qui soit suffisamment grave pour qu'elle justifie une indemnité pour tort moral fondée sur l' art. 49 al. 1 CO . On ne saurait quoi qu'il en soit déduire des faits retenus par la cour cantonale que le recourant a subi une souffrance morale suffisamment forte pour qu'il apparaisse légitime qu'il s'adresse au juge pour en obtenir réparation (cf. arrêt 6B_185/2013 du 22 janvier 2014 consid. 2.2 et la jurisprudence citée).</w:t>
      </w:r>
    </w:p>
    <w:p>
      <w:r>
        <w:rPr>
          <w:b/>
        </w:rPr>
        <w:t>E. 1.3</w:t>
      </w:r>
    </w:p>
    <w:p>
      <w:r>
        <w:t>En définitive, l'absence d'explications suffisantes sur la question des prétentions civiles exclut la qualité pour recourir du recourant sur le fond de la cause.</w:t>
      </w:r>
    </w:p>
    <w:p>
      <w:r>
        <w:rPr>
          <w:b/>
        </w:rPr>
        <w:t>E. 1.4</w:t>
      </w:r>
    </w:p>
    <w:p>
      <w:r>
        <w:t>Quant à l'hypothèse visée à l'art. 81 al. 1 let. b ch. 6 LTF, elle n'entre pas en considération, le recourant ne soulevant aucun grief quant à son droit de porter plainte.</w:t>
      </w:r>
    </w:p>
    <w:p>
      <w:r>
        <w:rPr>
          <w:b/>
        </w:rPr>
        <w:t>E. 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2.1</w:t>
      </w:r>
    </w:p>
    <w:p>
      <w:r>
        <w:t>En l'occurrence, le recourant se prévaut d'une violation par la cour cantonale de l'obligation de motiver sa décision ( art. 29 al. 2 Cst. ). Il lui reproche de ne pas avoir examiné son grief dénonçant une contradiction dans la motivation du ministère public selon lequel le classement, s'agissant du chef de prévention de voies de fait, ne se justifiait non pas en vertu de l' art. 177 al. 3 CP , mais en raison du fait que l'intimé avait agi par légitime défense ( art. 15 CP ). Or, selon le recourant, cette motivation du ministère public est arbitraire et viole le droit fédéral.</w:t>
      </w:r>
    </w:p>
    <w:p>
      <w:r>
        <w:rPr>
          <w:b/>
        </w:rPr>
        <w:t>E. 2.1.1</w:t>
      </w:r>
    </w:p>
    <w:p>
      <w:r>
        <w:t>Le Tribunal fédéral a déduit du droit d'être entendu, consacré par l' art. 29 al. 2 Cst. , le devoir pour l'autorité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 ATF 141 IV 249 consid. 1.3.1 p. 253; 139 IV 179 consid. 2.2 p. 183). Il n'est pas tenu de discuter tous les arguments soulevés par les parties, mais peut se limiter à l'examen des questions décisives pour l'issue du litige ( ATF 139 IV 179 consid. 2.2 p. 183). Dès lors que l'on peut discerner les motifs qui ont guidé la décision de l'autorité, le droit à une décision motivée est respecté même si la motivation présentée est erronée ( ATF 141 V 557 consid. 3.2.1 p. 565).</w:t>
      </w:r>
    </w:p>
    <w:p>
      <w:r>
        <w:rPr>
          <w:b/>
        </w:rPr>
        <w:t>E. 2.1.2</w:t>
      </w:r>
    </w:p>
    <w:p>
      <w:r>
        <w:t>En l'espèce, on peut se demander si, sous couvert d'une violation de ses droits de partie, le recourant ne fait pas valoir indirectement un moyen qui a trait au fond de l'affaire.</w:t>
      </w:r>
    </w:p>
    <w:p>
      <w:r>
        <w:t>Quoi qu'il en soit, sous l'angle d'une violation de l'obligation de motiver, il suffit d'observer que la cour cantonale, qui dispose d'un plein pouvoir d'examen en fait et en droit ( art. 393 al. 2 CPP ), a expliqué les raisons pour lesquelles, en application des art. 177 al. 3 CP et 319 al. 1 let. e CPP, le classement de la procédure se justifiait tant pour le chef de prévention d'injure que pour celui de voies de fait. Dans ces circonstances, on ne saurait lui reprocher de ne pas avoir examiné plus avant le bien-fondé de l'argumentation présentée par le Ministère public dans son ordonnance de classement. Au surplus, on ne distingue pas, dans les motifs de l'arrêt entrepris, de contradictions ayant empêché le recourant de saisir la portée du jugement et de l'attaquer en toute connaissance de cause. Le grief est dès lors rejeté dans la mesure où il est recevable.</w:t>
      </w:r>
    </w:p>
    <w:p>
      <w:r>
        <w:rPr>
          <w:b/>
        </w:rPr>
        <w:t>E. 2.2</w:t>
      </w:r>
    </w:p>
    <w:p>
      <w:r>
        <w:t>Enfin, les critiques du recourant quant à l'insuffisance des mesures d'instruction ne peuvent être séparées du fond et sont ainsi irrecevables.</w:t>
      </w:r>
    </w:p>
    <w:p>
      <w:r>
        <w:rPr>
          <w:b/>
        </w:rPr>
        <w:t>E. 3</w:t>
      </w:r>
    </w:p>
    <w:p>
      <w:r>
        <w:t>Le recours doit être rejeté dans la mesure de sa recevabilité. Le recourant, qui succombe, supporte les frais de la cause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