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6B_1291/2020 vom 11. November 2020</w:t>
      </w:r>
    </w:p>
    <w:p>
      <w:r>
        <w:t>Bundesgericht, 2020-11-11, DE</w:t>
      </w:r>
    </w:p>
    <w:p>
      <w:r>
        <w:rPr>
          <w:b/>
        </w:rPr>
        <w:t xml:space="preserve">Quelle: </w:t>
      </w:r>
      <w:r>
        <w:t>https://mcp.opencaselaw.ch/entscheid/bger_6B_1291_2020</w:t>
      </w:r>
    </w:p>
    <w:p>
      <w:r>
        <w:t>FR: TF 6B_1291/2020 du 11 novembre 2020</w:t>
      </w:r>
    </w:p>
    <w:p>
      <w:r>
        <w:t>IT: TF 6B_1291/2020 del 11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wendet sich mit Einsprache gegen den Strafbefehl vom 29. Oktober 2020 an das Bundesgericht. Er ersucht um eine Neueinschätzung des Falles. Der fragliche Strafbefehl ist nicht letztinstanzlich ( Art. 80 Abs. 1 BGG ). Dagegen ist gemäss dessen Rechtsmittelbelehrung Einsprache bei der Staatsanwaltschaft zu erheben. Auf die Eingabe an das Bundesgericht ist daher in Anwendung von Art. 80 Abs. 1 BGG im Verfahren nach Art. 108 BGG nicht einzutreten. Zugleich ist die Sache gestützt auf Art. 30 Abs. 2 BGG zuständigkeitshalber an die zuständige Staatsanwaltschaft zu überweisen.</w:t>
      </w:r>
    </w:p>
    <w:p>
      <w:r>
        <w:rPr>
          <w:b/>
        </w:rPr>
        <w:t>E. 2</w:t>
      </w:r>
    </w:p>
    <w:p>
      <w:r>
        <w:t>Auf eine Kostenauflage ist ausnahmsweise zu verzichten ( Art. 66 Abs. 1 BGG ). Das Gesuch um unentgeltliche Rechtspflege wird damit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