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6B_1291/2015 vom 14. März 2016</w:t>
      </w:r>
    </w:p>
    <w:p>
      <w:r>
        <w:t>Bundesgericht, 2016-03-14, FR</w:t>
      </w:r>
    </w:p>
    <w:p>
      <w:r>
        <w:rPr>
          <w:b/>
        </w:rPr>
        <w:t xml:space="preserve">Quelle: </w:t>
      </w:r>
      <w:r>
        <w:t>https://mcp.opencaselaw.ch/entscheid/bger_6B_1291_2015</w:t>
      </w:r>
    </w:p>
    <w:p>
      <w:r>
        <w:t>FR: TF 6B_1291/2015 du 14 mars 2016</w:t>
      </w:r>
    </w:p>
    <w:p>
      <w:r>
        <w:t>IT: TF 6B_1291/2015 del 14 marzo 2016</w:t>
      </w:r>
    </w:p>
    <w:p>
      <w:pPr>
        <w:pStyle w:val="Heading2"/>
      </w:pPr>
      <w:r>
        <w:t>Erwägungen</w:t>
      </w:r>
    </w:p>
    <w:p>
      <w:r>
        <w:rPr>
          <w:b/>
        </w:rPr>
        <w:t>E. 1</w:t>
      </w:r>
    </w:p>
    <w:p>
      <w:r>
        <w:t>Par ordonnance pénale du 6 mai 2015, le Préfet du Gros-de-Vaud a constaté que X.________ s'était rendu coupable d'infraction simple à la loi sur la circulation routière, l'a condamné à une amende de 600 fr., dit qu'à défaut de paiement de l'amende, la peine privative de liberté de substitution serait de six jours, et mis 50 fr. de frais à sa charge. Le 18 mai 2015, à la demande de X.________, la Préfecture du Gros-de-Vaud lui a adressé six bulletins de versement pour pouvoir s'acquitter de l'amende précitée. Entre le 2 juin et le 8 octobre 2015, il s'est acquitté de 540 fr. en quatre acomptes. Par courrier du 27 octobre 2015, il a contesté être l'auteur de l'infraction sanctionnée par l'ordonnance pénale précitée et en a demandé la révision. A l'appui de sa requête, il a produit une convocation à un entretien avec son conseiller personnel du Service de l'emploi le 6 mars 2015 à 10h30. Il a en outre précisé ne pas avoir pu vérifier les faits à l'époque en raison du fait qu'il était bloqué à l'armée, étant en outre de garde la plupart des week-ends, et que la Préfecture lui aurait par erreur indiqué par téléphone au début du mois de juillet 2015 qu'il n'avait plus la possibilité d'intervenir. Il s'est ensuite acquitté du dernier acompte de 110 francs.</w:t>
      </w:r>
    </w:p>
    <w:p>
      <w:r>
        <w:rPr>
          <w:b/>
        </w:rPr>
        <w:t>E. 2</w:t>
      </w:r>
    </w:p>
    <w:p>
      <w:r>
        <w:t>Par jugement du 4 novembre 2015, la Cour d'appel pénale du Tribunal cantonal du canton de Vaud a déclaré irrecevable la demande de révision.</w:t>
      </w:r>
    </w:p>
    <w:p>
      <w:r>
        <w:rPr>
          <w:b/>
        </w:rPr>
        <w:t>E. 3</w:t>
      </w:r>
    </w:p>
    <w:p>
      <w:r>
        <w:t>X.________ forme un recours en matière pénale au Tribunal fédéral contre cet arrêt, concluant, avec suite de dépens, à sa réforme en ce sens que la révision est admise et qu'il est libéré de l'infraction de violation simple des règles de la circulation. Il sollicite par ailleurs l'assistance judiciaire.</w:t>
      </w:r>
    </w:p>
    <w:p>
      <w:r>
        <w:rPr>
          <w:b/>
        </w:rPr>
        <w:t>E. 4.1</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(cf. arrêts 6B_864/2014 du 16 janvier 2015 consid. 1.3.3; 6B_310/2011 du 20 juin 2011 consid. 1.3, cité par la cour cantonale).</w:t>
      </w:r>
    </w:p>
    <w:p>
      <w:r>
        <w:rPr>
          <w:b/>
        </w:rPr>
        <w:t>E. 4.2</w:t>
      </w:r>
    </w:p>
    <w:p>
      <w:r>
        <w:t>La cour cantonale a considéré la demande de révision comme abusive au regard de la jurisprudence précitée car le recourant aurait dû faire valoir ses moyens par le biais d'une opposition à l'ordonnance pénale. Le recourant ne formule aucune critique recevable au regard de l' art. 42 al. 2 LTF contre cet argumentaire. Quoi qu'il en soit, dans les circonstances d'espèce, on ne discerne aucun élément que le recourant n'aurait pu faire valoir déjà au moment du prononcé de l'ordonnance pénale. C'est à bon escient que la cour cantonale a qualifié la demande de révision d'abusive.</w:t>
      </w:r>
    </w:p>
    <w:p>
      <w:r>
        <w:rPr>
          <w:b/>
        </w:rPr>
        <w:t>E. 5</w:t>
      </w:r>
    </w:p>
    <w:p>
      <w:r>
        <w:t>Le recours doit être rejeté dans la mesure où il est recevable. Comme les conclusions du recours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