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6B_1289/2018 vom 20. Februar 2019</w:t>
      </w:r>
    </w:p>
    <w:p>
      <w:r>
        <w:t>Bundesgericht, 2019-02-20, FR</w:t>
      </w:r>
    </w:p>
    <w:p>
      <w:r>
        <w:rPr>
          <w:b/>
        </w:rPr>
        <w:t xml:space="preserve">Quelle: </w:t>
      </w:r>
      <w:r>
        <w:t>https://mcp.opencaselaw.ch/entscheid/bger_6B_1289_2018</w:t>
      </w:r>
    </w:p>
    <w:p>
      <w:r>
        <w:t>FR: TF 6B_1289/2018 du 20 février 2019</w:t>
      </w:r>
    </w:p>
    <w:p>
      <w:r>
        <w:t>IT: TF 6B_1289/2018 del 20 febbraio 2019</w:t>
      </w:r>
    </w:p>
    <w:p>
      <w:pPr>
        <w:pStyle w:val="Heading2"/>
      </w:pPr>
      <w:r>
        <w:t>Erwägungen</w:t>
      </w:r>
    </w:p>
    <w:p>
      <w:r>
        <w:rPr>
          <w:b/>
        </w:rPr>
        <w:t>E. 1</w:t>
      </w:r>
    </w:p>
    <w:p>
      <w:r>
        <w:t>Invoquant une constatation manifestement inexacte des faits ainsi qu'une violation de l' art. 303 CP , le recourant conteste sa condamnation pour dénonciation calomnieuse.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selon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w:t>
      </w:r>
    </w:p>
    <w:p>
      <w:r>
        <w:rPr>
          <w:b/>
        </w:rPr>
        <w:t>E. 1.2</w:t>
      </w:r>
    </w:p>
    <w:p>
      <w:r>
        <w:t>L' art. 303 ch. 1 al. 1 CP réprime le comportement de celui qui aura dénoncé à l'autorité, comme auteur d'un crime ou d'un délit, une personne qu'il savait innocente, en vue de faire ouvrir contre elle une poursuite pénale.</w:t>
      </w:r>
    </w:p>
    <w:p>
      <w:r>
        <w:rPr>
          <w:b/>
        </w:rPr>
        <w:t>E. 1.2.1</w:t>
      </w:r>
    </w:p>
    <w:p>
      <w:r>
        <w:t>Sur le plan objectif, l' art. 303 ch. 1 al. 1 CP exige une communication, écrite ou orale, visant une personne déterminée, ou à tout le moins déterminable, portant sur la commission par cette dernière d'une infraction réprimée par la loi pénale, qu'il s'agisse d'un crime ( art. 10 al. 2 CP ) ou d'un délit ( art. 10 al. 3 CP ), qu'elle n'a en réalité pas commis ( ATF 132 IV 20 consid. 4.2 p. 25).</w:t>
      </w:r>
    </w:p>
    <w:p>
      <w:r>
        <w:t>La loi ne précise pas à quelle autorité la communication doit être adressée. Il est toutefois admis qu'entrent sous la dénomination " d'autorité ", les autorités de poursuite pénale, mais également celles à qui incombe un devoir légal d'aiguiller vers l'autorité compétente les éventuelles communications à elles adressées à tort. On doit également admettre que, si le récipiendaire de la dénonciation n'est pas tenu légalement de la transmettre à l'autorité compétente, mais qu'il le fait néanmoins et que son auteur devait s'y attendre, l'élément objectif est réalisé (DELNON/RÜDY, in Basler Kommentar, Strafrecht II, 4</w:t>
      </w:r>
    </w:p>
    <w:p>
      <w:r>
        <w:t>e éd. 2019, n</w:t>
      </w:r>
    </w:p>
    <w:p>
      <w:r>
        <w:t>os 19 ss ad art. 303 CP ; TRECHSEL/PIETH, in Trechsel/ Pieth [éd.], Schweizerisches Strafgesetzbuch, Praxiskommentar, 3</w:t>
      </w:r>
    </w:p>
    <w:p>
      <w:r>
        <w:t>e éd. 2018, n° 5 ad art. 303 CP ; AURÉLIEN STETTLER, in Commentaire romand, Code pénal II, 2017, n° 7 ad art. 303 CP ; DONATSCH/ THOMMEN/WOHLERS, Strafrecht IV, 5</w:t>
      </w:r>
    </w:p>
    <w:p>
      <w:r>
        <w:t>e éd. 2017, § 110 p. 464; STRATENWERTH/BOMMER, Schweizerisches Strafrecht, Besonderer Teil II: Straftaten gegen Gemeininteressen, 3</w:t>
      </w:r>
    </w:p>
    <w:p>
      <w:r>
        <w:t>e éd. 2013, § 55, n° 6 p. 372).</w:t>
      </w:r>
    </w:p>
    <w:p>
      <w:r>
        <w:t>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w:t>
      </w:r>
    </w:p>
    <w:p>
      <w:r>
        <w:t>bis aCP ( art. 54 CP ), cela n'empêche pas le juge appelé à statuer sur l'infraction de dénonciation calomnieuse, de statuer à nouveau sur la culpabilité de la personne dénoncée ( ATF 136 IV 170 consid. 2.1 p. 175 s. et les références citées; arrêt 6B_1003/2017 du 20 août 2018 consid. 4.2).</w:t>
      </w:r>
    </w:p>
    <w:p>
      <w:r>
        <w:rPr>
          <w:b/>
        </w:rPr>
        <w:t>E. 1.2.2</w:t>
      </w:r>
    </w:p>
    <w:p>
      <w:r>
        <w:t>Le recourant n'objecte pas que la teneur de sa correspondance du 7 avril 2016 au sujet de l'établissement B.________ laissait entendre que l'intimée était corrompue, dès lors qu'elle semblait avoir bénéficié d'avantages en échange de faveurs accordées au patron du restaurant, en l'occurrence la possibilité d'aménager et d'exploiter une terrasse sans qu'une autorisation valable ne soit délivrée.</w:t>
      </w:r>
    </w:p>
    <w:p>
      <w:r>
        <w:t>Il n'est pas déterminant que le courriel en question n'a pas été adressé à une autorité de poursuite pénale, mais au membre de l'autorité exécutive cantonale en charge notamment du Département de la sécurité. Au vu des termes utilisés par le recourant (" la police devra se pencher sur le cas de A.________ "), le récipiendaire pouvait le comprendre comme une dénonciation à transmettre à qui de droit. Après son envoi à la cheffe de la police, le conseiller d'Etat en a d'ailleurs informé le recourant, lequel a alors demandé à pouvoir " suivre l'enquête " (cf. e-mail du 10 avril 2016 annexé au courrier du 8 août 2016 du recourant à la Procureure).</w:t>
      </w:r>
    </w:p>
    <w:p>
      <w:r>
        <w:t>Il apparaît ainsi que le courrier électronique du 7 avril 2016 revêtait le caractère d'une dénonciation adressée à l'autorité portant sur la commission par l'intimée d'une infraction de corruption passive (art. 322</w:t>
      </w:r>
    </w:p>
    <w:p>
      <w:r>
        <w:t>quater CP), qui a abouti à l'ouverture d'une procédure pénale, laquelle a finalement été classée par le ministère public. Les éléments constitutifs objectifs de l'infraction de dénonciation calomnieuse sont dès lors réunis.</w:t>
      </w:r>
    </w:p>
    <w:p>
      <w:r>
        <w:rPr>
          <w:b/>
        </w:rPr>
        <w:t>E. 1.3</w:t>
      </w:r>
    </w:p>
    <w:p>
      <w:r>
        <w:t>Le recourant conteste la réalisation de l'infraction sur le plan subjectif.</w:t>
      </w:r>
    </w:p>
    <w:p>
      <w:r>
        <w:rPr>
          <w:b/>
        </w:rPr>
        <w:t>E. 1.3.1</w:t>
      </w:r>
    </w:p>
    <w:p>
      <w:r>
        <w:t>L'élément constitutif subjectif de l'infraction implique que l'auteur sache que la personne qu'il dénonce est innocente. Il s'agit d'une connaissance au sens strict. Le dol éventuel ne suffit pas ( ATF 136 IV 170 consid. 2.1 p. 175). Le dol éventuel suffit en revanche quant à l'intention de faire ouvrir une poursuite pénale ( ATF 85 IV 83 ; 80 IV 120 ; plus récemment arrêt 6B_324/2015 du 14 janvier 2016 consid. 2.1).</w:t>
      </w:r>
    </w:p>
    <w:p>
      <w:r>
        <w:t>Déterminer ce qu'une personne a su, envisagé, voulu ou accepté relève de l'établissement des faits ( ATF 138 V 74 consid. 8.4.1 p. 84; 137 IV 1 consid. 4.2.3 p. 4), qui lient le Tribunal fédéral ( art. 105 al. 1 LTF ), à moins que ceux-ci n'aient été établis arbitrairement (cf. supra consid. 1.1). Est en revanche une question de droit celle de savoir si l'autorité cantonale s'est fondée sur une juste conception de la notion d'intention et si elle l'a correctement appliquée au vu des éléments retenus (cf. ATF 135 IV 152 consid. 2.3.2 p. 156 et la référence citée).</w:t>
      </w:r>
    </w:p>
    <w:p>
      <w:r>
        <w:rPr>
          <w:b/>
        </w:rPr>
        <w:t>E. 1.3.2</w:t>
      </w:r>
    </w:p>
    <w:p>
      <w:r>
        <w:t>La cour cantonale a retenu que le recourant n'avait aucune raison de douter de l'innocence de l'intimée au moment où il avait déposé une dénonciation à son encontre, ayant lui-même admis qu'il n'avait aucun indice le permettant de l'accuser de corruption. Il savait en particulier que l'installation de la terrasse du restaurant B.________ était en règle et qu'elle ne pouvait en conséquence pas avoir fait l'objet d'un avantage indu.</w:t>
      </w:r>
    </w:p>
    <w:p>
      <w:r>
        <w:rPr>
          <w:b/>
        </w:rPr>
        <w:t>E. 1.3.3</w:t>
      </w:r>
    </w:p>
    <w:p>
      <w:r>
        <w:t>Le recourant soutient que c'est de manière arbitraire que la cour cantonale a omis de constater que la terrasse du restaurant, installée dès le début du mois de mars 2016, n'avait pas fait l'objet d'une autorisation écrite des autorités communales au moment de la dénonciation, en violation du règlement communal sur les terrasses d'établissements publics. Ce seul fait démontrait qu'il avait objectivement des raisons sérieuses de douter de la probité de l'intimée.</w:t>
      </w:r>
    </w:p>
    <w:p>
      <w:r>
        <w:t>Il ressort de l'arrêt entrepris que, préalablement à l'envoi du courrier électronique litigieux du 7 avril 2016, le recourant avait appelé l'intimée en date du 2 mars 2016. A cette occasion, il s'était enquis de savoir pourquoi la terrasse du restaurant était déjà installée, alors que la possibilité d'ouvrir une terrasse pour la période estivale ne prenait effet qu'au 1</w:t>
      </w:r>
    </w:p>
    <w:p>
      <w:r>
        <w:t>er mars 2016 et que les autres établissements publics du quartier n'avaient pas encore reçu d'autorisations à cet égard, ni payé les émoluments y relatifs (cf. procès-verbal de l'audition du 12 janvier 2017, p. 3). L'intimée lui avait alors répondu que, suivant les instructions de sa hiérarchie, elle avait appelé tous les commerçants disposant d'un dossier complet au 1</w:t>
      </w:r>
    </w:p>
    <w:p>
      <w:r>
        <w:t>er mars 2016 pour les informer qu'ils pouvaient déjà installer leurs terrasses, même s'ils n'avaient pas encore reçu d'autorisation écrite. Cela concernait le gérant de l'établissement B.________, celui-ci ayant fait parvenir sa demande dès le 22 février 2016 (cf. procès-verbal de l'audition du 12 janvier 2017, p. 5).</w:t>
      </w:r>
    </w:p>
    <w:p>
      <w:r>
        <w:t>Le recourant ne conteste pas avoir affirmé à plusieurs reprises en cours de procédure qu'il " avait cru à la bonne foi " de l'intimée quant aux explications données le 2 mars 2016, en particulier quant à la conformité de l'installation de la terrasse du restaurant (cf. procès-verbal d'audience du ministère public du 10 novembre 2017, p. 2; procès-verbal de l'audience du 23 avril 2018 du Tribunal de police, pp. 4 et 5). Il ne saurait dès lors soutenir, sauf à se contredire, que c'est l'absence d'autorisation écrite délivrée en vue de l'installation de la terrasse qui l'avait fait douter de la probité de l'intimée et qui avait partant motivé sa dénonciation du 7 avril 2016.</w:t>
      </w:r>
    </w:p>
    <w:p>
      <w:r>
        <w:t>La cour cantonale pouvait ainsi se dispenser d'examiner si, au regard du droit administratif et plus particulièrement du règlement communal sur les terrasses d'établissements publics, l'ouverture de la terrasse aurait dû faire l'objet d'une autorisation écrite avant son installation effective. Il n'est pas non plus pertinent d'examiner si les autres soupçons portés sur l'établissement B.________ étaient fondés, ceux-ci ne concernant pas l'intimée.</w:t>
      </w:r>
    </w:p>
    <w:p>
      <w:r>
        <w:rPr>
          <w:b/>
        </w:rPr>
        <w:t>E. 1.3.4</w:t>
      </w:r>
    </w:p>
    <w:p>
      <w:r>
        <w:t>Lors de sa conversation téléphonique avec l'intimée, le recourant lui avait également demandé s'il lui arrivait d'aller manger au restaurant en question. L'intimée lui avait alors répondu que tel était le cas, comme dans d'autres établissements du quartier (cf. procès-verbal d'audience du ministère public du 12 janvier 2017, p. 5), sans pour autant faire état d'une fréquentation plus régulière ou d'autres indices pouvant supposer l'octroi d'avantages. Contrairement à ce que soutient le recourant, on ne saurait déduire des déclarations de l'intimée en cours de procédure que, lors de leur conversation, celle-ci lui aurait fait part de " très bons rapports " entretenus avec le patron du restaurant, l'intimée ayant soutenu avoir indiqué au recourant " qu'elle s'entendait bien avec le patron du B.________ comme tous les patrons dont elle avait la charge " (cf procès-verbal d'audience du ministère public du 10 novembre 2017, p. 3).</w:t>
      </w:r>
    </w:p>
    <w:p>
      <w:r>
        <w:rPr>
          <w:b/>
        </w:rPr>
        <w:t>E. 1.3.5</w:t>
      </w:r>
    </w:p>
    <w:p>
      <w:r>
        <w:t>Le recourant s'étant déclaré convaincu par les explications de l'intimée tant au sujet de la nature de ses relations avec le patron du restaurant que de la conformité de la terrasse, la cour cantonale pouvait retenir sans arbitraire que le recourant savait que l'installation de la terrasse dès le 2 mars 2016 était en règle, ce qui excluait qu'elle puisse avoir fait l'objet d'un quelconque " échange " entre les intéressés, comme le recourant le laisse entendre dans sa dénonciation. En conséquence, elle pouvait en conclure, sans violer le droit fédéral, que le recourant, qui s'était de surcroît abstenu d'évoquer sa conversation avec l'intimée, savait au moment où il l'avait dénoncée que celle-ci était innocente.</w:t>
      </w:r>
    </w:p>
    <w:p>
      <w:r>
        <w:t>Enfin, la teneur du courriel litigieux, par lequel le recourant sollicite l'intervention de la police, de même que la confirmation de ses propos lors de son audition par la police en relation avec les faits dénoncés (cf. procès-verbal du 12 avril 2016, p. 2), permettent de constater que le recourant avait à tout le moins accepté l'éventualité qu'une poursuite pénale soit ouverte contre l'intimée, de sorte qu'il a agi par dol éventuel s'agissant de cet aspect subjectif de l'infraction.</w:t>
      </w:r>
    </w:p>
    <w:p>
      <w:r>
        <w:rPr>
          <w:b/>
        </w:rPr>
        <w:t>E. 1.4</w:t>
      </w:r>
    </w:p>
    <w:p>
      <w:r>
        <w:t>En définitive, la condamnation du recourant pour dénonciation calomnieuse ne viole pas le droit fédéral.</w:t>
      </w:r>
    </w:p>
    <w:p>
      <w:r>
        <w:rPr>
          <w:b/>
        </w:rPr>
        <w:t>E. 2</w:t>
      </w:r>
    </w:p>
    <w:p>
      <w:r>
        <w:t>Le recourant conteste l'allocation à l'intimée d'un montant de 3000 fr. pour le tort moral subi. S'il invoque une violation de l' art. 49 CO , il reproche également à la cour cantonale de ne pas avoir examiné le bien-fondé des prétentions civiles.</w:t>
      </w:r>
    </w:p>
    <w:p>
      <w:r>
        <w:rPr>
          <w:b/>
        </w:rPr>
        <w:t>E. 2.1</w:t>
      </w:r>
    </w:p>
    <w:p>
      <w:r>
        <w:t>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(cf. arrêts 6B_1422/2017 du 5 juin 2018 consid. 3.1; 6B_43/2012 du 27 août 2012 consid. 1.1).</w:t>
      </w:r>
    </w:p>
    <w:p>
      <w:r>
        <w:t>L' art. 399 CPP , qui régit la déclaration d'appel, prévoit à son al. 3 que celle-ci indique si le jugement est attaqué dans son ensemble ou seulement sur certaines parties (let. a), les modifications du jugement de première instance demandées (let. b) et les réquisitions de preuves (let. c). Quiconque attaque seulement certaines parties du jugement est tenu d'indiquer dans la déclaration d'appel, de manière définitive, sur quelles parties porte l'appel ( art. 399 al. 4 CPP ). Conformément à l' art. 404 al. 1 CPP la juridiction d'appel n'examine que les points attaqués du jugement de première instance. Elle jouit en revanche d'un plein pouvoir d'examen sur tous les points attaqués du jugement, qu'elle revoit librement.</w:t>
      </w:r>
    </w:p>
    <w:p>
      <w:r>
        <w:rPr>
          <w:b/>
        </w:rPr>
        <w:t>E. 2.2</w:t>
      </w:r>
    </w:p>
    <w:p>
      <w:r>
        <w:t>En l'espèce, si la cour cantonale a rejeté l'appel du recourant après avoir discuté la question de sa culpabilité et celle de la quotité de la peine, le jugement entrepris ne contient en revanche aucune motivation relative aux conclusions civiles de l'intimée, dont le bien-fondé a été reconnu par le Tribunal de police. Or, dans sa déclaration d'appel du 2 juillet 2018, le recourant avait indiqué que le jugement rendu le 23 avril 2018 par le Tribunal de police était contesté " dans son ensemble " ( art. 399 al. 3 let. a CPP ). Au titre des modifications du jugement de première instance demandées ( art. 399 al. 3 let. b CPP ), il avait ainsi conclu à son acquittement ainsi qu'à la modification des " points accessoires " du jugement. On ne saurait déduire de ce qui précède que le recourant entendait limiter son appel aux seules questions de la culpabilité et de la peine, ni qu'il entendait renoncer à contester les prétentions civiles au cas où sa culpabilité était reconnue.</w:t>
      </w:r>
    </w:p>
    <w:p>
      <w:r>
        <w:t>Ainsi, à défaut de toute motivation au sujet des conclusions civiles, le Tribunal fédéral n'est pas en mesure d'examiner le grief du recourant par lequel il tente de démontrer que l'indemnité allouée à l'intimée n'est justifiée ni dans son principe ni dans sa quotité. Il s'ensuit que le recours doit être admis sur ce point.</w:t>
      </w:r>
    </w:p>
    <w:p>
      <w:r>
        <w:rPr>
          <w:b/>
        </w:rPr>
        <w:t>E. 3</w:t>
      </w:r>
    </w:p>
    <w:p>
      <w:r>
        <w:t>Au vu de ce qui précède, le recours doit être partiellement admis, l'arrêt entrepris annulé s'agissant des conclusions civiles allouées à l'intimée et la cause renvoyée à la cour cantonale pour qu'elle se prononce sur ce point. Pour le surplus, le recours doit être rejeté dans la mesure où il est recevable.</w:t>
      </w:r>
    </w:p>
    <w:p>
      <w:r>
        <w:t>Le recourant, qui obtient partiellement gain de cause, supportera une partie des frais judiciaires ( art. 66 al. 1 et 4 LTF ). Il peut prétendre à des dépens réduits, à la charge du canton de Genève ( art. 68 al. 1 LTF ).</w:t>
      </w:r>
    </w:p>
    <w:p>
      <w:r>
        <w:t>Dès lors que le recours est partiellement admis, faute pour la cour cantonale d'avoir examiné la question des conclusions civiles, sans que le Tribunal fédéral ne traite la cause au fond, il peut être procédé au renvoi sans ordonner préalablement un échange d'écritures (cf. en ce sens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