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1285/2016 vom 16. Januar 2017</w:t>
      </w:r>
    </w:p>
    <w:p>
      <w:r>
        <w:t>Bundesgericht, 2017-01-16, FR</w:t>
      </w:r>
    </w:p>
    <w:p>
      <w:r>
        <w:rPr>
          <w:b/>
        </w:rPr>
        <w:t xml:space="preserve">Quelle: </w:t>
      </w:r>
      <w:r>
        <w:t>https://mcp.opencaselaw.ch/entscheid/bger_6B_1285_2016</w:t>
      </w:r>
    </w:p>
    <w:p>
      <w:r>
        <w:t>FR: TF 6B 1285/2016 du 16 janvier 2017</w:t>
      </w:r>
    </w:p>
    <w:p>
      <w:r>
        <w:t>IT: TF 6B 1285/2016 del 16 gennaio 2017</w:t>
      </w:r>
    </w:p>
    <w:p>
      <w:pPr>
        <w:pStyle w:val="Heading2"/>
      </w:pPr>
      <w:r>
        <w:t>Regeste</w:t>
      </w:r>
    </w:p>
    <w:p>
      <w:r>
        <w:t>Recours en matière pénale au Tribunal fédéral, motivation | Infractions</w:t>
      </w:r>
    </w:p>
    <w:p>
      <w:pPr>
        <w:pStyle w:val="Heading2"/>
      </w:pPr>
      <w:r>
        <w:t>Erwägungen</w:t>
      </w:r>
    </w:p>
    <w:p>
      <w:r>
        <w:rPr>
          <w:b/>
        </w:rPr>
        <w:t>E. 1.1</w:t>
      </w:r>
    </w:p>
    <w:p>
      <w:r>
        <w:t>Par ordonnance pénale du 7 octobre 2016, le Ministère public de l'arrondissement de l'Est vaudois a condamné X.________ pour diffamation, utilisation abusive d'une installation de télécommunication, tentative de contrainte et insoumission à une décision de l'autorité à une peine de 80 jours-amende à 30 fr. le jour, dont 40 jours-amende avec sursis pendant cinq ans ainsi qu'à une amende de 600 francs, la peine privative de liberté de substitution en cas de non-paiement dans le délai imparti étant fixée à 6 jours.</w:t>
      </w:r>
    </w:p>
    <w:p>
      <w:r>
        <w:rPr>
          <w:b/>
        </w:rPr>
        <w:t>E. 1.2</w:t>
      </w:r>
    </w:p>
    <w:p>
      <w:r>
        <w:t>Le 14 octobre 2016, la Chambre des recours pénale du Tribunal cantonal vaudois a déclaré irrecevable le recours de X.________ contre l'ordonnance pénale pour le motif que celle-ci n'était attaquable que par voie d'opposition conformément à l' art. 354 CPP .</w:t>
      </w:r>
    </w:p>
    <w:p>
      <w:r>
        <w:rPr>
          <w:b/>
        </w:rPr>
        <w:t>E. 1.3</w:t>
      </w:r>
    </w:p>
    <w:p>
      <w:r>
        <w:t>X.________ interjette un recours en matière pénale au Tribunal fédéral contre l'arrêt cantonal.</w:t>
      </w:r>
    </w:p>
    <w:p>
      <w:r>
        <w:rPr>
          <w:b/>
        </w:rPr>
        <w:t>E. 2</w:t>
      </w:r>
    </w:p>
    <w:p>
      <w:r>
        <w:t>L'objet du litige est circonscrit par l'arrêt attaqué au prononcé d'irrecevabilité frappant l'écriture cantonale du recourant (cf. art. 80 al. 1 LTF ), de sorte que toutes autres considérations, notamment la déclaration de plaintes pénales, sont irrecevables.</w:t>
      </w:r>
    </w:p>
    <w:p>
      <w:r>
        <w:rPr>
          <w:b/>
        </w:rPr>
        <w:t>E. 3</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Le recourant a reçu notification de l'arrêt attaqué le lundi 7 novembre 2016, de sorte qu'il disposait d'un délai pour recourir échéant le jeudi 7 décembre suivant. Les écritures datées des 15 décembre 2016 et 10 janvier 2016 [recte : 2017] ont été postées tardivement et sont par conséquent irrecevables.</w:t>
      </w:r>
    </w:p>
    <w:p>
      <w:r>
        <w:rPr>
          <w:b/>
        </w:rPr>
        <w:t>E. 4</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Le recourant, qui évoque principalement des arguments de fond, ne démontre pas en quoi le prononcé d'irrecevabilité frappant son écriture cantonale violerait le droit. A défaut, le présent recours ne satisfait pas aux exigences de motivation d'un recours en matière pénale au Tribunal fédéral, de sorte qu'il doit être écarté en application de la procédure simplifiée prévue à l' art. 108 al. 1 let. b LTF .</w:t>
      </w:r>
    </w:p>
    <w:p>
      <w:r>
        <w:rPr>
          <w:b/>
        </w:rPr>
        <w:t>E. 5</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