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6B_1283/2018 vom 14. Februar 2019</w:t>
      </w:r>
    </w:p>
    <w:p>
      <w:r>
        <w:t>Bundesgericht, 2019-02-14, FR</w:t>
      </w:r>
    </w:p>
    <w:p>
      <w:r>
        <w:rPr>
          <w:b/>
        </w:rPr>
        <w:t xml:space="preserve">Quelle: </w:t>
      </w:r>
      <w:r>
        <w:t>https://mcp.opencaselaw.ch/entscheid/bger_6B_1283_2018</w:t>
      </w:r>
    </w:p>
    <w:p>
      <w:r>
        <w:t>FR: TF 6B_1283/2018 du 14 février 2019</w:t>
      </w:r>
    </w:p>
    <w:p>
      <w:r>
        <w:t>IT: TF 6B_1283/2018 del 14 febbraio 2019</w:t>
      </w:r>
    </w:p>
    <w:p>
      <w:pPr>
        <w:pStyle w:val="Heading2"/>
      </w:pPr>
      <w:r>
        <w:t>Erwägungen</w:t>
      </w:r>
    </w:p>
    <w:p>
      <w:r>
        <w:rPr>
          <w:b/>
        </w:rPr>
        <w:t>E. 1</w:t>
      </w:r>
    </w:p>
    <w:p>
      <w:r>
        <w:t>Le recourant conteste l'arrêt attaqué en invoquant une constatation manifestement inexacte des faits et une violation du principe in dubio pro reo. Il soutient que la cour cantonale a négligé l'existence de preuves essentielles en accordant davantage de crédit aux déclarations de l'intimée plutôt qu'aux siennes. Il lui reproche également d'avoir retenu un état de fait qui lui est défavorable alors qu'il existerait un doute raisonnable concernant le déroulement véritable des évènements.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n'examine la violation de droits fondamentaux que si ce moyen est invoqué et motivé par le recourant de manière précise ( art. 106 al. 2 LTF ), c'est-à-dire s'il a été expressément soulevé et exposé de manière claire et détaillée. Les critiques de nature appellatoire sont irrecevables ( ATF 142 III 364 consid. 2.4 p. 368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autres arguments de nature à emporter la conviction (arrêts 6B_435/2018 du 19 septembre 2018 consid. 3.2.1; 6B_1154/2017 du 27 avril 2018 consid. 1.1; 6B_1183/2016 du 24 août 2017 consid. 1.1).</w:t>
      </w:r>
    </w:p>
    <w:p>
      <w:r>
        <w:rPr>
          <w:b/>
        </w:rPr>
        <w:t>E. 1.2</w:t>
      </w:r>
    </w:p>
    <w:p>
      <w:r>
        <w:t>La présomption d'innocence, garantie par les art. 10 CPP , 32 al. 1 Cst., 14 par. 2 Pacte ONU II et 6 par. 2 CEDH, ainsi que son corollaire, le principe " in dubio pro reo ",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143 IV 500 consid. 1.1 p. 503; 138 V 74 consid. 7 p. 82; arrêt 6B_804/2017 précité consid. 2.2.3.3 destiné à la publication).</w:t>
      </w:r>
    </w:p>
    <w:p>
      <w:r>
        <w:rPr>
          <w:b/>
        </w:rPr>
        <w:t>E. 1.3</w:t>
      </w:r>
    </w:p>
    <w:p>
      <w:r>
        <w:t>Les déclarations de la victime constituent un élément de preuve. Le juge doit, dans l'évaluation globale de l'ensemble des éléments probatoires rassemblés au dossier, les apprécier librement (arrêts 6B_1306/2017 du 17 mai 218 consid. 2.1.1; 6B_942/2017 du 5 mars 2018 consid. 2.1.2; 6B_614/2012 du 15 février 2013 consid. 3.2.5; 6B_716/2010 du 15 novembre 2010 consid. 1.3), sous réserve des cas particuliers où une expertise de la crédibilité des déclarations de la victime s'impose (cf. ATF 129 IV 179 consid. 2.4 p. 184).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p. 127).</w:t>
      </w:r>
    </w:p>
    <w:p>
      <w:r>
        <w:rPr>
          <w:b/>
        </w:rPr>
        <w:t>E. 1.4</w:t>
      </w:r>
    </w:p>
    <w:p>
      <w:r>
        <w:t>Il est constant que la version des faits de l'intimée, retenue par la cour cantonale, et celle du recourant sont contradictoires. La cour cantonale a cependant considéré que les premiers juges avaient motivé de manière convaincante les raisons pour lesquelles ils avaient retenu la version de l'intimée plutôt que celle du recourant. Elle a fait sienne leur motivation, en s'y référant explicitement ( art. 82 al. 4 CPP ).</w:t>
      </w:r>
    </w:p>
    <w:p>
      <w:r>
        <w:t>A cet égard, les premiers juges ont notamment relevé la cohérence globale des déclarations de l'intimée, qui avait toujours décrit les événements factuels essentiels de la même manière et avec la même précision, sans chercher à exagérer les faits ni à charger le prévenu. Un constat médical consécutif à l'examen effectué par l'intimée en date du 6 juin 2016 à l'hôpital E.________ établissait de multiples lésions (hématomes au visage, lésions pétéchiales, hématome diffus au sein droit avec mamelon présentant des lésions sanguinolentes, marque longitudinale de 30 cm et de 0,5 cm de large sur tout le dos, etc.), tandis qu'un stress post-traumatique et des troubles anxio-dépressifs réactionnels avaient été diagnostiqués par la psychologue et le médecin-traitant de l'intimée. Les déclarations de la mère et du frère de l'intimée, lequel avait notamment évoqué son état pitoyable, concordaient pour décrire qu'elle n'allait pas bien le dimanche 5 juin 2016. Les premiers juges ont aussi relevé que l'intimée n'avait aucun mobile d'imputer à tort, à charge du recourant, des faits constitutifs de viol, et que la thèse de ce dernier, selon lequel l'intimée avait voulu se venger d'avoir été atteinte dans sa fierté au vu de la façon avec laquelle elle avait été mise à la porte, se heurtait au stress post-traumatique et aux troubles anxio-dépressifs réactionnels diagnostiqués chez l'intimée, qu'une simple blessure d'amour propre n'aurait pu engendrer. En ce qui concerne le recourant, il a été retenu qu'il avait varié dans ses déclarations sur des éléments cruciaux, qu'il avait nié avoir mordu et giflé l'intimée et lui avoir donné des coups, en prétendant s'être contenté de lui faire des suçons et de lui donner de " petites giflettes ", alors qu'un rapport médical prouvait le contraire. Il se contredisait lui-même en développant une thèse selon laquelle il avait été question d'une relation sexuelle brutale, torride et sauvage, entretenue de manière consentie et mutuelle, quoiqu'il n'ait présenté aucune marque. Il était encore relevé que le recourant avait cherché à récolter des moyens de preuve dès qu'il avait compris qu'il risquait d'avoir des ennuis, soit après le téléphone de la mère de l'intimée, le jour suivant les faits.</w:t>
      </w:r>
    </w:p>
    <w:p>
      <w:r>
        <w:rPr>
          <w:b/>
        </w:rPr>
        <w:t>E. 1.5</w:t>
      </w:r>
    </w:p>
    <w:p>
      <w:r>
        <w:t>Après s'être référé à ces éléments, la cour cantonale a écarté tour à tour les différents griefs soulevés en appel par le recourant, tenant à la valeur probante des rapports médicaux établissant les séquelles psychologiques de l'intimée, ou encore à différents éléments relatifs au comportement de l'intimée après les faits.</w:t>
      </w:r>
    </w:p>
    <w:p>
      <w:r>
        <w:t>Pour l'essentiel, le recourant se contente de réitérer devant le Tribunal fédéral les griefs déjà soulevés devant la cour cantonale à l'encontre du jugement de première instance. Faute pour lui de discuter précisément les motifs de la décision attaquée, le recourant développe une argumentation qui ne répond pas aux exigences de motivation déduites de l' art. 106 al. 2 LTF . Qui plus est, le recourant tente de remettre en cause l'appréciation des juges précédents en dénonçant de prétendues contradictions dans le comportement de l'intimée qu'il tente de construire en s'essayant à dépeindre un hypothétique portrait type de personne violée. Selon lui, une telle personne chercherait à tout prix à fuir afin de ne plus être confrontée à son agresseur, aurait honte et ne parlerait que très difficilement des faits survenus, ou encore, se sentant sale et ressentant immédiatement le besoin d'effacer toutes traces laissées par son agresseur, se précipiterait sous la douche après l'acte. Il pense ainsi pouvoir tirer argument de ce que l'intimée n'aurait pas affiché de réticences à évoquer les faits avec des tiers, ou encore de ce que cette dernière " n'a[aurait] même pas eu l'idée de prendre une douche après ce prétendu viol ", ce qui constituerait " un détail assez surprenant ".</w:t>
      </w:r>
    </w:p>
    <w:p>
      <w:r>
        <w:t>Sur ce dernier point, le grief du recourant, tel que formulé, confine à la témérité. De surcroît, une telle démarche, consistant à discuter l'arrêt cantonal à l'aune d'un profil hypothétique de victime de viol, confère au grief en cause un caractère purement appellatoire et le rend irrecevable. Quoi qu'il en soit, la cour cantonale a jugé non déterminant le fait que l'intimée n'ait pas pris de douche immédiatement après les faits en évoquant l'état de choc, voire de sidération dans lequel cette dernière se trouvait, avant d'ajouter que les réactions des victimes dans de telles circonstances variaient et dépendaient d'une personne à l'autre. Ces arguments échappent à la critique. De même, on ne saurait reprocher à la cour cantonale d'avoir retenu la présence d'un symptôme de " dissociation péri-traumatique liée aux évènements " pour expliquer pourquoi l'intimée était parvenue, dans un premier temps, à aborder ouvertement les faits avec des tiers. En outre, le recourant ne peut tirer argument de ce que l'intimée, qui suivait un apprentissage de coiffeuse, aurait décidé de poursuivre sa formation dans un salon situé en face de son propre lieu de travail, alors qu'une personne violée aurait tenté à tout prix d'éviter son agresseur. La cour cantonale a retenu sur ce point ( art. 105 al. 1 LTF ) que le changement en question avait été imposé par l'employeur de l'intimée, constat que le recourant ne discute pas et qui suffit à disqualifier son argument.</w:t>
      </w:r>
    </w:p>
    <w:p>
      <w:r>
        <w:t>C'est finalement en vain que le recourant remet en cause le constat selon lequel l'intimée a été atteinte psychologiquement ensuite des faits survenus dans la nuit du 4 au 5 juin 2016, en relevant notamment qu'elle était suivie depuis le mois de mars précédent les faits. La cour cantonale a retenu sur ce point que son suivi antérieur avait trait à d'autres motifs. Le recourant ne formule aucune critique portant spécifiquement sur ce point. On ne voit pas davantage en quoi le fait que le rapport de la psychologue a été rédigé après deux mois de suivi serait en soi propre à remettre en cause son objectivité ou affecterait la valeur probante que lui a attribué la cour cantonale. En outre, contrairement à ce qu'invoque le recourant, le rapport de la psychologue consultée par l'intimée détaille les différents tests (questionnaires) à laquelle cette dernière a été soumise pour apprécier son état psychologique. Au reste, la cour cantonale a retenu l'existence de troubles psychologiques (stress post-traumatique et troubles anxio-dépressifs) essentiellement sur la base des rapports de la psychologue et du médecin-traitant de l'intimée des 26 septembre et 17 octobre 2016. Il importe peu, dès lors, que le suivi psychiatrique dont l'intimée a également bénéficié par la suite ait débuté en 2017, comme le retient la cour cantonale ou en juin 2018, comme l'invoque le recourant. Quoi qu'il en soit, cet élément ne remet nullement en cause l'appréciation de l'autorité précédente concernant l'existence et les causes des troubles constatés chez l'intimée.</w:t>
      </w:r>
    </w:p>
    <w:p>
      <w:r>
        <w:t>En définitive, aucun des éléments mis en exergue par le recourant ne conduit à reprocher à la cour cantonale d'avoir arbitrairement constaté les faits ou d'avoir arbitrairement retenu la version de l'intimée plutôt que la sienne. Les griefs qu'il formule sous cet angle doivent dès lors être rejetés, si tant est qu'ils soient recevables.</w:t>
      </w:r>
    </w:p>
    <w:p>
      <w:r>
        <w:rPr>
          <w:b/>
        </w:rPr>
        <w:t>E. 1.6</w:t>
      </w:r>
    </w:p>
    <w:p>
      <w:r>
        <w:t>Au vu de ce qui précède, le grief relatif à une prétendue violation du principe in dubio pro reo que soulève également le recourant n'a pas de portée propre par rapport aux griefs précités et doit lui aussi être rejeté.</w:t>
      </w:r>
    </w:p>
    <w:p>
      <w:r>
        <w:rPr>
          <w:b/>
        </w:rPr>
        <w:t>E. 2</w:t>
      </w:r>
    </w:p>
    <w:p>
      <w:r>
        <w:t>Le recourant ne discute pas la qualification des faits retenus à son encontre sous l'angle de l' art. 190 CP . En revanche, il semble implicitement contester la qualification de lésions corporelles simples au sens de l' art. 123 CP , en soutenant que la cour cantonale aurait " omis de prendre en compte des éléments tels que la sensibilité de la peau, ainsi que celle de certaines parties du corps particulièrement délicate ".</w:t>
      </w:r>
    </w:p>
    <w:p>
      <w:r>
        <w:rPr>
          <w:b/>
        </w:rPr>
        <w:t>E. 2.1</w:t>
      </w:r>
    </w:p>
    <w:p>
      <w:r>
        <w:t>Selon la jurisprudence, 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p. 189; 119 IV 25 consid. 2a p. 26; 107 IV 40 consid. 5c p. 42; 103 IV 65 consid. 2c p. 70).</w:t>
      </w:r>
    </w:p>
    <w:p>
      <w:r>
        <w:rPr>
          <w:b/>
        </w:rPr>
        <w:t>E. 2.2</w:t>
      </w:r>
    </w:p>
    <w:p>
      <w:r>
        <w:t>Au vu des lésions constatées en l'espèce (hématomes au visage, lésions pétéchiales, hématome diffus au sein droit avec mamelon présentant des lésions sanguinolentes, marque longitudinale de 30 cm et de 0,5 cm de large sur tout le dos, etc., cf. supra consid. 1.4), la cour cantonale pouvait admettre sans violer le droit fédéral la réalisation de l'élément objectif de l'infraction sanctionnée par l' art. 123 CP . Pour le surplus, le recourant ne discute pas l'élément subjectif. Le grief doit par conséquent être rejeté.</w:t>
      </w:r>
    </w:p>
    <w:p>
      <w:r>
        <w:rPr>
          <w:b/>
        </w:rPr>
        <w:t>E. 3</w:t>
      </w:r>
    </w:p>
    <w:p>
      <w:r>
        <w:t>Le recourant ne discute pas la quotité de la peine qui lui a été infligée. Compte tenu du sort de ses griefs, il n'y a pas lieu d'examiner plus avant cette question.</w:t>
      </w:r>
    </w:p>
    <w:p>
      <w:r>
        <w:rPr>
          <w:b/>
        </w:rPr>
        <w:t>E. 4</w:t>
      </w:r>
    </w:p>
    <w:p>
      <w:r>
        <w:t>Il s'ensuit que le recours doit être rejeté dans la faible mesure de sa recevabilité. Les conclusions du recourant tendant à son acquittement de chefs de prévention de viol et de lésions corporelles simples sont sont ainsi rejetées, tout comme ses conclusions tendant au rejet des conclusions civiles de l'intimée et au versement d'une indemnité à forme de l' art. 429 CPP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