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1282/2016 vom 14. September 2017</w:t>
      </w:r>
    </w:p>
    <w:p>
      <w:r>
        <w:t>Bundesgericht, 2017-09-14, DE</w:t>
      </w:r>
    </w:p>
    <w:p>
      <w:r>
        <w:rPr>
          <w:b/>
        </w:rPr>
        <w:t xml:space="preserve">Quelle: </w:t>
      </w:r>
      <w:r>
        <w:t>https://mcp.opencaselaw.ch/entscheid/bger_6B_1282_2016</w:t>
      </w:r>
    </w:p>
    <w:p>
      <w:r>
        <w:t>FR: TF 6B 1282/2016 du 14 septembre 2017</w:t>
      </w:r>
    </w:p>
    <w:p>
      <w:r>
        <w:t>IT: TF 6B 1282/2016 del 14 settembre 2017</w:t>
      </w:r>
    </w:p>
    <w:p>
      <w:pPr>
        <w:pStyle w:val="Heading2"/>
      </w:pPr>
      <w:r>
        <w:t>Regeste</w:t>
      </w:r>
    </w:p>
    <w:p>
      <w:r>
        <w:t>Versuchte Drohung; Grundsatz in dubio pro reo | Straftaten</w:t>
      </w:r>
    </w:p>
    <w:p>
      <w:pPr>
        <w:pStyle w:val="Heading2"/>
      </w:pPr>
      <w:r>
        <w:t>Erwägungen</w:t>
      </w:r>
    </w:p>
    <w:p>
      <w:r>
        <w:rPr>
          <w:b/>
        </w:rPr>
        <w:t>E. 1.1</w:t>
      </w:r>
    </w:p>
    <w:p>
      <w:r>
        <w:t>Der Beschwerdeführer wendet sich gegen die vorinstanzliche Sachverhaltsfeststellung.</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IV 369 E. 6.3 S. 375, 305 E. 1.2 S. 308 f.; je mit Hinweisen). Der Beschwerdeführer beruft sich auf den Grundsatz "in dubio pro reo". Als Beweiswürdigungsregel verlangt diese Maxime, dass sich das Strafgericht nicht von der Existenz eines für die beschuldigte Person ungünstigen Sachverhalts überzeugt erklären darf, wenn bei objektiver Betrachtung erhebliche und nicht zu unterdrückende Zweifel bestehen, ob sich der Sachverhalt so verwirklicht hat. Das Bundesgericht prüft diese Frage unter dem Gesichtspunkt der Willkür ( BGE 138 V 74 E. 7 S. 82 ; 127 I 38 E. 2a S. 41 mit Hinweisen). 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1.3</w:t>
      </w:r>
    </w:p>
    <w:p>
      <w:r>
        <w:t>Die Vorinstanz führt aus, die Erstaussagen des Beschwerdeführers deckten sich weitgehend mit den konstanten Aussagen der damaligen Ehefrau, und stellt darauf ab. Der Beschwerdeführer habe bei der polizeilichen Einvernahme von sich aus detailliert und eindrücklich geschildert, wie sich die ehelichen Auseinandersetzungen abgespielt hätten. Er habe angegeben, gegenüber seiner damaligen Ehefrau Mord- und Selbstmorddrohungen ausgesprochen zu haben, indem er ihr gesagt habe, er mache eher mit sich Schluss, als sie noch einmal tätlich anzufassen. Dann oder schon vorher habe er gesagt, er reisse ihr das Herz heraus oder könnte sie totschlagen. Die Vorinstanz erwägt, sowohl der Beschwerdeführer als auch seine damalige Ehefrau hätten vor der Polizei auf offene Fragen hin ausgesagt. Der Beschwerdeführer habe mehrfach angegeben, Mord- und Selbstmorddrohungen ausgesprochen zu haben, und ausgesagt, er habe sich völlig fremdbestimmt gefühlt und eine gewalttätige Wut in sich getragen. Daraus folgert die Vorinstanz, der Beschwerdeführer habe sich in einer Gemütslage befunden, zu der die vorgeworfenen und von ihm anfänglich eingeräumten Drohungen passten. Hingegen überzeugten seine späteren Aussagen bei der Staatsanwaltschaft und in den Gerichtsverfahren nicht. Es sei nicht plausibel, weshalb er sich anfänglich mehrfach hätte falsch belasten sollen. Ebenso wenig bestünden Anhaltspunkte dafür, dass seine bei der polizeilichen Einvernahme gemachten Angaben falsch oder ungenau protokolliert worden wären. Seine damalige Ehefrau habe zweifellos ein persönliches Interesse am Verfahrensausgang gehabt, doch ändere dies nichts daran, dass die Aussagen zum Kerngeschehen sinngemäss übereinstimmten. Zudem habe seine damalige Ehefrau auch den Beschwerdefü hrer entlastende Momente aufgezeigt und ihn nicht über Gebühr belastet. Das Strafverfahren sei denn auch nicht durch sie ausgelöst worden, sondern durch eine Anzeige des Vaters des Beschwerdeführers.</w:t>
      </w:r>
    </w:p>
    <w:p>
      <w:r>
        <w:rPr>
          <w:b/>
        </w:rPr>
        <w:t>E. 1.4</w:t>
      </w:r>
    </w:p>
    <w:p>
      <w:r>
        <w:t>Was der Beschwerdeführer dagegen vorbringt, ist nicht geeignet, Willkür darzutun. Er selber anerkennt, dass die Vorinstanz den Sachverhalt grundsätzlich korrekt wiedergibt, macht aber geltend, dieser bedürfe einiger Ergänzungen. Allerdings führt er nirgends aus, inwiefern die Vorinstanz den Sachverhalt in willkürlicher Weise unvollständig erstellt haben sollte. So würdigt denn die Vorinstanz die Entwicklung der Ehe und insbesondere die Verschärfung der Spannungen in den Tagen vor den fraglichen Auseinandersetzungen. Zudem berücksichtigt sie, dass die damalige Ehefrau ein persönliches Interesse am Verfahrensausgang hatte. Was die Drohungen des Beschwerdeführers betrifft, gehen die Aussagen nur insofern auseinander, als man auf seine späteren Angaben abstellt. Die Vorinstanz begründet indessen überzeugend, weshalb sie diese Aussagen für unglaubhaft hält. Entgegen den Ausführungen des Beschwerdeführers durfte die Vorinstanz ohne weiteres auf seine Erstaussagen abstellen. Wie sie überzeugend erwägt, sagte der Beschwerdeführer an der polizeilichen Einvernahme vom 24. Dezember 2013 trotz Einnahme von Medikamenten zur Nikotinentwöhnung klar, detailliert und widerspruchsfrei aus. Das Protokoll der polizeilichen Einvernahme bietet keine Anhaltspunkte für eine verminderte Aussagefähigkeit. Der Beschwerdeführer wurde zu Beginn der Befragung korrekt über seine Rechte belehrt. Wie die Vorinstanz zutreffend ausführt, gab er zu Protokoll, er fühle sich abgesehen von Schmerzen in der Schulter gesundheitlich "bedingt gut", auch wenn er emotional am Boden zerstört sei. Nach der Befragung las er das Protokoll durch und bestätigte unterschriftlich dessen Korrektheit. Keine Rede kann davon sein, dass der Beschwerdeführer von der Polizei massiv unter Druck gesetzt worden wäre oder dass ihm die Worte in den Mund gelegt worden wären.</w:t>
      </w:r>
    </w:p>
    <w:p>
      <w:r>
        <w:rPr>
          <w:b/>
        </w:rPr>
        <w:t>E. 1.5</w:t>
      </w:r>
    </w:p>
    <w:p>
      <w:r>
        <w:t>Die Sachverhaltsfeststellung der Vorinstanz ist nicht willkürlich und beruht auch nicht auf einer Rechtsverletzung im Sinne von Art. 95 BGG . Die Rüge ist unbegründet.</w:t>
      </w:r>
    </w:p>
    <w:p>
      <w:r>
        <w:rPr>
          <w:b/>
        </w:rPr>
        <w:t>E. 2.1</w:t>
      </w:r>
    </w:p>
    <w:p>
      <w:r>
        <w:t>Der Beschwerdeführer macht geltend, der Tatbestand der versuchten Drohung sei weder objektiv noch subjektiv erfüllt.</w:t>
      </w:r>
    </w:p>
    <w:p>
      <w:r>
        <w:rPr>
          <w:b/>
        </w:rPr>
        <w:t>E. 2.2</w:t>
      </w:r>
    </w:p>
    <w:p>
      <w:r>
        <w:t>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mindestens Eventualvorsatz (Urteile 6B_1338/2015 vom 11. Oktober 2016 E. 2.3; 6B_98/2016 vom 9. September 2016 E. 5.3; 6B_871/2014 vom 24. August 2015 E. 2.2.1; 6B_1121/2013 vom 6. Mai 2014 E. 6.3; 6B_192/2012 vom 10. September 2012 E. 1.1; je mit Hinweisen). Die Androhung des Übels kann auch gegen die Rechtsgüter Dritter oder gar des Drohenden selber gerichtet sein, sofern sie geeignet ist, das Opfer in Schrecken oder Angst zu versetzen (Urteile 6B_1283/2016 vom 19. April 2017 E. 2.3; 6B_1338/2015 vom 11. Oktober 2016 E. 1.4; Delnon/Rüdy, in: Basler Kommentar, Strafrecht, Bd. II, 3. Aufl. 2013, N. 17 zu Art. 180 StGB ). Eventualvorsatz ist gegeben, wenn der Täter den Eintritt des Erfolgs beziehungsweise die Verwirklichung des Tatbestandes für möglich hält, aber dennoch handelt, weil er den Erfolg für den Fall seines Eintritts in Kauf nimmt ( Art. 12 Abs. 2 StGB ), sich mit ihm abfindet, mag er ihm auch unerwünscht sein. Was der Täter weiss, will und in Kauf nimmt, betrifft eine innere Tatsache und ist Tatfrage. Rechtsfrage ist hingegen, nach welchen tatsächlichen Voraussetzungen bewusste Fahrlässigkeit, Eventualvorsatz oder direkter Vorsatz gegeben ist ( BGE 137 IV 1 E. 4.2.3 S. 4 mit Hinweisen). Es besteht indes eine gewisse Überschneidung von Tatfragen (welche nur unter dem Gesichtswinkel der Willkür überprüfbar sind; vgl. oben E. 1.2)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2.3</w:t>
      </w:r>
    </w:p>
    <w:p>
      <w:r>
        <w:t>Die Vorinstanz erwägt, der Beschwerdeführer habe seiner damaligen Ehefrau schwere Nachteile in Aussicht gestellt, indem er ihr Übel angedroht habe, welche sich sowohl gegen seine eigenen als auch gegen deren Rechtsgüter gerichtet hätten. Die Mord- und Selbstmorddrohungen seien vom Willen des Beschwerdeführers abhängig gewesen und von solcher Schwere, dass sie Schrecken und Angst auszulösen vermocht hätten. Die damalige Ehefrau des Beschwerdeführers habe angegeben, sie denke, dass er seine Drohungen nicht ernst gemeint und lediglich aus einer Hilflosigkeit heraus gehandelt habe. Deshalb sei davon auszugehen, dass sie nicht in der von Art. 180 Abs. 1 StGB geforderten Weise erschreckt oder verängstigt worden sei. Der Beschwerdeführer habe die schwere Drohung erfolglos geäussert, womit der objektive Tatbestand nur teilweise erfüllt sei. Es komme mithin nur versuchte Drohung in Betracht. Die Vorinstanz führt weiter aus, dem Beschwerdeführer habe bewusst sein müssen, dass die schwerwiegenden Äusserungen seine damalige Ehefrau in Schrecken oder Angst versetzen und ihr Sicherheitsgefühl erheblich beeinträchtigen konnten. Dies gelte insbesondere, da sich die ehelichen Spannungen seit Tagen zugespitzt hätten und in der Nacht vom 21. auf den 22. Dezember 2013 zu eskalieren drohten. Dem Beschwerdeführer werde nicht vorgeworfen, sein eigentliches Ziel sei gewesen, seine damalige Ehefrau in Schrecken oder Angst zu versetzen. Indessen habe er diese Möglichkeit in Kauf genommen.</w:t>
      </w:r>
    </w:p>
    <w:p>
      <w:r>
        <w:rPr>
          <w:b/>
        </w:rPr>
        <w:t>E. 2.4</w:t>
      </w:r>
    </w:p>
    <w:p>
      <w:r>
        <w:t>Die Vorinstanz verletzt kein Bundesrecht, wenn sie die Äusserungen des Beschwerdeführers als Drohung im Sinne von Art. 180 StGB qualifiziert. Der Beschwerdeführer verharmlost seine Worte, wenn er vorträgt, sie seien "lediglich als Äusserungen seines Gefühlszustandes" zu werten. Entgegen seiner Annahme durfte er nicht darauf vertrauen, seine damalige Ehefrau sei "sehr gefühlskalt" und würde sich dadurch nicht beeindrucken lassen. Die Vorinstanz legt überzeugend dar, dass der Beschwerdeführer mindestens in Kauf nahm, seine damalige Ehefrau in Schrecken oder Angst zu versetzen, zumal er, wie die Vorinstanz zutreffend ausführt, selber zu Protokoll gab, an jenem Abend Angst vor sich selber bekommen zu haben.</w:t>
      </w:r>
    </w:p>
    <w:p>
      <w:r>
        <w:rPr>
          <w:b/>
        </w:rPr>
        <w:t>E. 2.5</w:t>
      </w:r>
    </w:p>
    <w:p>
      <w:r>
        <w:t>Die Vorinstanz durfte den Beschwerdeführer der versuchten Drohung schuldig sprechen, ohne Bundesrecht zu verletzen.</w:t>
      </w:r>
    </w:p>
    <w:p>
      <w:r>
        <w:rPr>
          <w:b/>
        </w:rPr>
        <w:t>E. 3</w:t>
      </w:r>
    </w:p>
    <w:p>
      <w:r>
        <w:t>Der Beschwerdeführer beanstandet die vorinstanzliche Kostenauflage und verlangt eine Parteientschädigung. Seine Begründung basiert einzig auf dem beantragten Freispruch. Darauf ist bei diesem Ausgang nicht einzugehen.</w:t>
      </w:r>
    </w:p>
    <w:p>
      <w:r>
        <w:rPr>
          <w:b/>
        </w:rPr>
        <w:t>E. 4</w:t>
      </w:r>
    </w:p>
    <w:p>
      <w:r>
        <w:t>Die Beschwerde ist abzuweisen, soweit darauf eingetreten werden kann. Bei diesem Ausgang trägt der Beschwerdeführer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