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127/2018 vom 8. Juni 2018</w:t>
      </w:r>
    </w:p>
    <w:p>
      <w:r>
        <w:t>Bundesgericht, 2018-06-08, DE</w:t>
      </w:r>
    </w:p>
    <w:p>
      <w:r>
        <w:rPr>
          <w:b/>
        </w:rPr>
        <w:t xml:space="preserve">Quelle: </w:t>
      </w:r>
      <w:r>
        <w:t>https://mcp.opencaselaw.ch/entscheid/bger_6B_127_2018</w:t>
      </w:r>
    </w:p>
    <w:p>
      <w:r>
        <w:t>FR: TF 6B 127/2018 du 8 juin 2018</w:t>
      </w:r>
    </w:p>
    <w:p>
      <w:r>
        <w:t>IT: TF 6B 127/2018 del 8 giugno 2018</w:t>
      </w:r>
    </w:p>
    <w:p>
      <w:pPr>
        <w:pStyle w:val="Heading2"/>
      </w:pPr>
      <w:r>
        <w:t>Regeste</w:t>
      </w:r>
    </w:p>
    <w:p>
      <w:r>
        <w:t>Mehrfache einfache Körperverletzung, Willkür; Schadenersatz | Straftaten</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setzt im Falle eines Freispruchs grundsätzlich voraus, dass die Privatklägerschaft, soweit zumutbar, ihre Zivilansprüche aus strafbarer Handlung im Strafverfahren geltend gemacht hat ( BGE 137 IV 246 E. 1.3.1 S. 248; Urteil 6B_776/2017 vom 8. Februar 2018 E. 1.1; mit Hinweisen).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(Urteile 6B_224/2013 vom 27. Januar 2014 E. 1.2; 6B_399/2012 vom 12. November 2012 E. 1.2). Der Beschwerdeführer wendet sich gegen den vorinstanzlichen Freispruch des Beschwerdegegners. Dass der Beschwerdeführer im kantonalen Strafverfahren adhäsionsweise Zivilansprüche geltend gemacht hat, legt er nicht dar und ist auch nicht ersichtlich. Ferner behauptet er nicht, dass ihm die Geltendmachung von Zivilansprüchen im kantonalen Strafverfahren unzumutbar gewesen sei. Insofern genügen seine Ausführungen zum Verletzungsbild und zu seiner Arbeitsunfähigkeit nicht, um seine Beschwerdelegitimation hinreichend zu begründen.</w:t>
      </w:r>
    </w:p>
    <w:p>
      <w:r>
        <w:rPr>
          <w:b/>
        </w:rPr>
        <w:t>E. 2</w:t>
      </w:r>
    </w:p>
    <w:p>
      <w:r>
        <w:t>Auf die Beschwerde ist im Verfahren nach Art. 108 BGG nicht einzutreten.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