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6B_1279/2018 vom 26. März 2019</w:t>
      </w:r>
    </w:p>
    <w:p>
      <w:r>
        <w:t>Bundesgericht, 2019-03-26, FR</w:t>
      </w:r>
    </w:p>
    <w:p>
      <w:r>
        <w:rPr>
          <w:b/>
        </w:rPr>
        <w:t xml:space="preserve">Quelle: </w:t>
      </w:r>
      <w:r>
        <w:t>https://mcp.opencaselaw.ch/entscheid/bger_6B_1279_2018</w:t>
      </w:r>
    </w:p>
    <w:p>
      <w:r>
        <w:t>FR: TF 6B_1279/2018 du 26 mars 2019</w:t>
      </w:r>
    </w:p>
    <w:p>
      <w:r>
        <w:t>IT: TF 6B_1279/2018 del 26 marzo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w:t>
      </w:r>
    </w:p>
    <w:p>
      <w:r>
        <w:t>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141 IV 1 consid. 1.1 p. 4 s.).</w:t>
      </w:r>
    </w:p>
    <w:p>
      <w:r>
        <w:rPr>
          <w:b/>
        </w:rPr>
        <w:t>E. 1.1.2</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les recourantes dénoncent la commission des infractions de gestion fautive ( art. 165 CP ) et d'escroquerie ( art. 146 CP ).</w:t>
      </w:r>
    </w:p>
    <w:p>
      <w:r>
        <w:rPr>
          <w:b/>
        </w:rPr>
        <w:t>E. 1.2.1</w:t>
      </w:r>
    </w:p>
    <w:p>
      <w:r>
        <w:t>L'infraction de gestion fautive, qui figure parmi les infractions contre le patrimoine (art. 137 à 172ter CP), tend à protéger le patrimoine des créanciers et la poursuite pour dettes elle-même, en tant que moyen d'assurer le respect des droits de ces derniers (arrêt 6B_1024/2016 du 17 novembre 2017 consid. 1.2; BERNARD CORBOZ, Les infractions en droit suisse, vol. I, 3e éd., 2010, n° 1 ad art. 163 CP ; NADINE HAGENSTEIN, in Basler Kommentar, Strafrecht, 3e éd. 2013, n° 1 ad art. 163 CP ; JEANNERET/HARI, in Commentaire romand, Code pénal II, 2017, n° 4 ss ad art. 163/164 CP). Les créanciers individuels directement touchés sont donc légitimés à se constituer partie plaignante dans la procédure pénale (arrêts 6B_551/2015 du 24 février 2016 consid. 1.2; 6B_252/2013 du 14 mai 2013 consid. 2.2; MAZZUCHINI/POSTIZZI, in Basler Kommentar, StPO/JStPO, 2e éd. 2014, n° 60 ad art. 115 CPP ; ANDREW M. GARBARSKI, Qualité de partie plaignante et criminalité économique: quelques questions d'actualité, in RPS 130 (2012) p. 160, spéc. p. 182 ss).</w:t>
      </w:r>
    </w:p>
    <w:p>
      <w:r>
        <w:t>Les recourantes exposent avoir conclu, avec la société D.________ SA, deux contrats de prêt en date du 15 mars 2016, par lesquels elles prêtaient chacune 100'000 fr. à la société. Comme la société est tombée en faillite en décembre 2016, elles n'ont pas perçu les intérêts convenus ni récupéré le capital. En tant que créancières de D.________ SA, elles sont directement touchées par la prétendue infraction de gestion fautive et, partant, elles revêtent la qualité de partie plaignante. Les conditions posées à l' art. 81 al. 1 LTF sont donc réalisées, de sorte que la qualité pour recourir doit leur être reconnue s'agissant de l'infraction de gestion fautive.</w:t>
      </w:r>
    </w:p>
    <w:p>
      <w:r>
        <w:rPr>
          <w:b/>
        </w:rPr>
        <w:t>E. 1.2.2</w:t>
      </w:r>
    </w:p>
    <w:p>
      <w:r>
        <w:t>L' art. 146 CP vise à protéger les intérêts pécuniaires du lésé ( ATF 129 IV 53 consid. 3.2 p. 57 s. et les références citées; arrêt 6B_549/2013 du 24 février 2014 consid. 2.2.1). Selon les recourantes, les intimés leur ont présenté frauduleusement une société saine, alors que celle-ci était en état manifeste de surendettement, dans le but de leur soutirer 200'000 francs. La condamnation de ceux-ci pour escroquerie leur permettrait d'être dédommagées à hauteur du montant prêté. Les conditions posées à l' art. 81 al. 1 LTF sont également réalisées concernant cette dernière infraction.</w:t>
      </w:r>
    </w:p>
    <w:p>
      <w:r>
        <w:rPr>
          <w:b/>
        </w:rPr>
        <w:t>E. 2</w:t>
      </w:r>
    </w:p>
    <w:p>
      <w:r>
        <w:t>Les recourantes reprochent à la cour cantonale d'avoir confirmé l'ordonnance de non-entrée en matière s'agissant des infractions d'escroquerie ( art. 146 CP ) et de gestion fautive ( art. 165 CP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 in dubio pro duriore ".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que le Tribunal fédéral revoit avec retenue ( ATF 143 IV 241 consid. 2.2.1 p. 243; 138 IV 86 consid. 4.1.2 p. 91 et les références citées).</w:t>
      </w:r>
    </w:p>
    <w:p>
      <w:r>
        <w:rPr>
          <w:b/>
        </w:rPr>
        <w:t>E. 2.2</w:t>
      </w:r>
    </w:p>
    <w:p>
      <w:r>
        <w:t>Les recourantes critiquent la confirmation de l'ordonnance de non-entrée en matière pour l'infraction de gestion fautive.</w:t>
      </w:r>
    </w:p>
    <w:p>
      <w:r>
        <w:rPr>
          <w:b/>
        </w:rPr>
        <w:t>E. 2.2.1</w:t>
      </w:r>
    </w:p>
    <w:p>
      <w:r>
        <w:t>Aux termes de l' art. 165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 art. 29 let. a CP rend également punissable l'organe d'une personne morale qui cause ou aggrave le surendettement par sa propre négligence.</w:t>
      </w:r>
    </w:p>
    <w:p>
      <w:r>
        <w:t>La faute de gestion visée par l' 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plus récemment arrêt 6B_726/2017 du 20 octobre 2017 consid. 1.2). L' art. 165 CP ne vise que les fautes de gestion économiques grossières. Constitue en particulier une négligence coupable dans l'exercice de sa profession au sens de l' art. 165 CP l'omission de faire l'avis au juge exigé par l' art. 725 al. 2 CO en cas de surendettement (arrêts 6B_985/2016 du 27 février 2017 consid. 4.1.1; 6B_199/2016 du 8 décembre 2016 consid. 2.3.3).</w:t>
      </w:r>
    </w:p>
    <w:p>
      <w:r>
        <w:t>L' art. 725 al. 2 CO prévoit qu'en cas de surendettement de la société, le conseil d'administration doit aviser le juge " à moins que des créanciers de la société n'acceptent que leur créance soit placée à un rang inférieur à celui de toutes les autres créances de la société dans la mesure de cette insuffisance de l'actif ". La postposition de créance est un contrat par lequel un créancier s'engage, en cas de faillite de son débiteur, à renoncer à sa créance dans la mesure nécessaire à la couverture de toutes les autres créances (BRUNO KISTLER, La postposition, in L'expert-comptable suisse 1996, p. 479 ss, spéc. 480). Le contrat est conclu entre la société et le créancier et ne nécessite l'approbation ni des actionnaires, ni des autres créanciers. La postposition n'est toutefois pas un abandon de créance, de sorte qu'elle n'élimine pas le surendettement (arrêts 4A_277/2010 du 2 septembre 2010 consid. 2.3; 4A_188/2008 du 9 septembre 2008 consid. 4.5; 4C.58/2007 du 25 mai 2007 consid. 4.3). Pour éviter que la société ne tombe en faillite, la postposition devra, en règle générale, être accompagnée de mesures de restructuration et d'assainissement (arrêt 4C.47/2003 du 2 juillet 2003 consid. 2.2; BRUNO KISTLER, La postposition, in L'expert-comptable suisse 1996, p. 586 ss, spéc. 591). En l'absence de toute perspective de redressement, une postposition suffisante du point de vue comptable ne libère pas le conseil d'administration de l'obligation d'aviser le juge en cas de surendettement (HANSPETER WÜSTINER, in Basler Kommentar, Obligationenrecht II, 5e éd. 2016, n° 47 ad art. 725 CO ; CATHRINE KONOPATSCH, Verspätete Überschuldungsanzeige als Misswirtschaft gemäss Art. 165 Ziff. 1 StGB, in RPS 134/2016 p. 196 ss, spéc. p. 210). Un report de l'avis au juge n'est admissible que pour un cours laps de temps, à savoir pendant quelque semaines, voire plusieurs mois (délai de grâce;</w:t>
      </w:r>
    </w:p>
    <w:p>
      <w:r>
        <w:t>Toleranzfrist; cf. arrêt 6B_492/2009 du 18 janvier 2010 consid. 2.3.2, selon lequel un report de 94 jours est illicite; CATHRINE KONOPATSCH, Verspätete Überschuldungsanzeige als Misswirtschaft gemäss Art. 165 Ziff. 1 StGB, in RPS 134/2016 p. 196 ss, spéc. p. 201). Sur le plan pénal, l'auteur est puni pour avoir dû reconnaître le risque de l'insolvabilité et pour l'avoir pris, ou pour l'avoir nié d'une manière irresponsable (cf. ATF 115 IV 38 consid. 2 p. 40).</w:t>
      </w:r>
    </w:p>
    <w:p>
      <w:r>
        <w:rPr>
          <w:b/>
        </w:rPr>
        <w:t>E. 2.2.2</w:t>
      </w:r>
    </w:p>
    <w:p>
      <w:r>
        <w:t>La cour cantonale a admis qu'il ressortait des déclarations de l'un des intimés à l'office des faillites et du bilan 2015 remis à la police que la société D.________ SA était en état de surendettement déjà en 2015. Elle a toutefois relevé que des mesures correctives avaient été prises, à savoir la postposition de créance, la diminution des salaires ainsi que des licenciements. Elle a ajouté qu'un bilan intermédiaire avait été dressé à la fin juin 2016. Elle a conclu qu'en avisant le juge le 2 novembre 2016, les intimés n'avaient pas fait preuve d'une irresponsabilité grossière qui aurait aggravé la situation de D.________ SA.</w:t>
      </w:r>
    </w:p>
    <w:p>
      <w:r>
        <w:rPr>
          <w:b/>
        </w:rPr>
        <w:t>E. 2.2.3</w:t>
      </w:r>
    </w:p>
    <w:p>
      <w:r>
        <w:t>Il semble admis que la société D.________ SA était en état de surendettement déjà en 2015. Dans un tel cas, le conseil d'administration doit en principe en aviser le juge (cf. art. 725 CO ). Les éléments figurant dans l'arrêt attaqué ne permettent pas de déterminer si les intimés ont respecté les obligations qui leur sont imposées par l' art. 725 CO . On ignore d'abord la date du surendettement, de sorte que l'on ne peut pas apprécier si les intimés ont agi à temps. Exceptionnellement, il peut être renoncé à un avis au juge immédiat si des mesures tendant à un assainissement concret sont prises. La cour cantonale mentionne à cet égard des mesures correctives (postposition de créance, diminution des salaires et licenciements), mais elle ne donne aucune indication sur celles-ci, de sorte qu'il n'est pas possible de déterminer si ces mesures offraient des perspectives de succès sérieuses. En l'absence de toute mesure d'instruction, il n'apparaît donc pas possible d'exclure, à ce stade de la procédure, que les intimés n'aient pas gravement violé l' art. 725 al. 2 CO en tardant à aviser le juge. Au vu de l'état de fait lacunaire de l'arrêt attaqué, il est aussi impossible d'écarter toute autre faute de gestion (dépenses exagérées ou utilisation à la légère de crédits).</w:t>
      </w:r>
    </w:p>
    <w:p>
      <w:r>
        <w:rPr>
          <w:b/>
        </w:rPr>
        <w:t>E. 2.2.4</w:t>
      </w:r>
    </w:p>
    <w:p>
      <w:r>
        <w:t>En définitive, la cour cantonale a violé l' art. 310 CPP en excluant tout soupçon de commission d'actes de gestion fautive au sens de l' art. 165 CP à ce stade de la procédure et en confirmant l'ordonnance de non-entrée en matière. Le recours doit donc être admis sur ce point.</w:t>
      </w:r>
    </w:p>
    <w:p>
      <w:r>
        <w:rPr>
          <w:b/>
        </w:rPr>
        <w:t>E. 2.3</w:t>
      </w:r>
    </w:p>
    <w:p>
      <w:r>
        <w:t>Il n'y a pas lieu de traiter le grief tiré de la violation de l' art. 310 CPP et de l' art. 146 CP (escroquerie). En effet, conformément au principe de l'unité de la procédure ( art. 29 CPP ), il convient d'annuler l'ordonnance de non-entrée en matière dans son intégralité et de renvoyer l'ensemble de l'affaire au ministère public pour complément d'instruction.</w:t>
      </w:r>
    </w:p>
    <w:p>
      <w:r>
        <w:rPr>
          <w:b/>
        </w:rPr>
        <w:t>E. 3</w:t>
      </w:r>
    </w:p>
    <w:p>
      <w:r>
        <w:t>Au vu de ce qui précède, le recours doit être admis, l'arrêt attaqué, annulé et la cause renvoyée à la cour cantonale pour nouvelle décision.</w:t>
      </w:r>
    </w:p>
    <w:p>
      <w:r>
        <w:t>Il n'y a pas lieu de percevoir des frais ( art. 66 al. 1 LTF ).</w:t>
      </w:r>
    </w:p>
    <w:p>
      <w:r>
        <w:t>Les recourantes qui obtiennent gain de cause ont droit à des dépens, pour moitié, à la charge de l'intimé Z.________ qui a conclu au rejet du recours et, pour moitié,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