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6B_1279/2016 vom 21. Dezember 2016</w:t>
      </w:r>
    </w:p>
    <w:p>
      <w:r>
        <w:t>Bundesgericht, 2016-12-21, DE</w:t>
      </w:r>
    </w:p>
    <w:p>
      <w:r>
        <w:rPr>
          <w:b/>
        </w:rPr>
        <w:t xml:space="preserve">Quelle: </w:t>
      </w:r>
      <w:r>
        <w:t>https://mcp.opencaselaw.ch/entscheid/bger_6B_1279_2016</w:t>
      </w:r>
    </w:p>
    <w:p>
      <w:r>
        <w:t>FR: TF 6B_1279/2016 du 21 décembre 2016</w:t>
      </w:r>
    </w:p>
    <w:p>
      <w:r>
        <w:t>IT: TF 6B_1279/2016 del 21 dicembre 2016</w:t>
      </w:r>
    </w:p>
    <w:p>
      <w:pPr>
        <w:pStyle w:val="Heading2"/>
      </w:pPr>
      <w:r>
        <w:t>Erwägungen</w:t>
      </w:r>
    </w:p>
    <w:p>
      <w:r>
        <w:rPr>
          <w:b/>
        </w:rPr>
        <w:t>E. 1</w:t>
      </w:r>
    </w:p>
    <w:p>
      <w:r>
        <w:t>Das Kantonsgericht Wallis trat am 12. Oktober 2016 auf eine Eingabe in Anwendung von Art. 385 Abs. 2 StPO nicht ein, weil der Beschwerdeführer auch innert der ihm angesetzten Nachfrist keine Rechtsschrift eingereicht hatte, die den gesetzlichen Anforderungen an eine Beschwerdeschrift genügt hätte. Zu dieser Frage äussert sich der Beschwerdeführer vor Bundesgericht nicht. Seine Ausführungen betreffen nur die materielle Seite der Angelegenheit, mit der sich das Bundesgericht nicht befassen kann. Auf die Beschwerde ist im Verfahren nach Art. 108 BGG nicht einzutreten.</w:t>
      </w:r>
    </w:p>
    <w:p>
      <w:r>
        <w:rPr>
          <w:b/>
        </w:rPr>
        <w:t>E. 2</w:t>
      </w:r>
    </w:p>
    <w:p>
      <w:r>
        <w:t>Die Gerichtskosten sind dem Beschwerdeführer aufzuerlegen ( Art. 66 Abs. 1 BGG ). Das nachträgliche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