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1278/2016 vom 13. Dezember 2016</w:t>
      </w:r>
    </w:p>
    <w:p>
      <w:r>
        <w:t>Bundesgericht, 2016-12-13, FR</w:t>
      </w:r>
    </w:p>
    <w:p>
      <w:r>
        <w:rPr>
          <w:b/>
        </w:rPr>
        <w:t xml:space="preserve">Quelle: </w:t>
      </w:r>
      <w:r>
        <w:t>https://mcp.opencaselaw.ch/entscheid/bger_6B_1278_2016</w:t>
      </w:r>
    </w:p>
    <w:p>
      <w:r>
        <w:t>FR: TF 6B 1278/2016 du 13 décembre 2016</w:t>
      </w:r>
    </w:p>
    <w:p>
      <w:r>
        <w:t>IT: TF 6B 1278/2016 del 13 dicembre 2016</w:t>
      </w:r>
    </w:p>
    <w:p>
      <w:pPr>
        <w:pStyle w:val="Heading2"/>
      </w:pPr>
      <w:r>
        <w:t>Regeste</w:t>
      </w:r>
    </w:p>
    <w:p>
      <w:r>
        <w:t>ordonnance de non-entrée en matière (diffamation, calomnie) | Procédure pénale</w:t>
      </w:r>
    </w:p>
    <w:p>
      <w:pPr>
        <w:pStyle w:val="Heading2"/>
      </w:pPr>
      <w:r>
        <w:t>Erwägungen</w:t>
      </w:r>
    </w:p>
    <w:p>
      <w:r>
        <w:rPr>
          <w:b/>
        </w:rPr>
        <w:t>E. 1</w:t>
      </w:r>
    </w:p>
    <w:p>
      <w:r>
        <w:t>Par acte du 10 novembre 2016, X.________ recourt en matière pénale au Tribunal fédéral contre un arrêt rendu le 7 octobre 2016 par la Chambre pénale du Tribunal cantonal fribourgeois, par lequel cette autorité a rejeté le recours formé par l'intéressé contre une ordonnance de non-entrée en matière du 19 juillet 2016, rendue ensuite d'une plainte dirigée par X.________ contre A.________, B.________, C.________, D.________ et E.________.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il est constant que la plainte du recourant visait un président de Tribunal, quatre assesseurs ainsi que toute autre personne ayant participé à la rédaction d'un jugement et que le recourant reprochait à ces personnes d'avoir, dans cette décision judiciaire, tenu des propos diffamatoires ou calomnieux à son égard.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les présumés auteurs contre lesquels il a dirigé sa plainte et sa dénonciation, mais contre l'Etat.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 Pour le surplus, le recourant n'invoque pas expressément la violation de son droit de plainte (art. 81 al. 1 let. a ch. 6 LTF). Il objecte certes qu'au vu de l'état de la procédure le Ministère public ne pouvait pas refuser d'entrer en matière mais, tout au plus, classer l'affaire. On ne perçoit toutefois pas concrètement ce que le recourant entend déduire en sa faveur de ces développements ni en quoi son droit de porter plainte aurait ainsi été atteint. Pour le surplus, le recourant n'invoque aucun droit procédural entièrement séparé du fond (cf. ATF 141 IV 1 consid. 1.1 p. 5). Au vu de ce qui précède, le recourant ne démontre pas à satisfaction de droit avoir qualité pour recourir en matière pénale contre l'arrêt du 7 octobre 2016.</w:t>
      </w:r>
    </w:p>
    <w:p>
      <w:r>
        <w:rPr>
          <w:b/>
        </w:rPr>
        <w:t>E. 2</w:t>
      </w:r>
    </w:p>
    <w:p>
      <w:r>
        <w:t>L'irrecevabilité est manifeste. Le recours doit être écarté en application de l' art. 108 al. 1 let. a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