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6B_1277/2021 vom 9. März 2023</w:t>
      </w:r>
    </w:p>
    <w:p>
      <w:r>
        <w:t>Bundesgericht, 2023-03-09, FR</w:t>
      </w:r>
    </w:p>
    <w:p>
      <w:r>
        <w:rPr>
          <w:b/>
        </w:rPr>
        <w:t xml:space="preserve">Quelle: </w:t>
      </w:r>
      <w:r>
        <w:t>https://mcp.opencaselaw.ch/entscheid/bger_6B_1277_2021</w:t>
      </w:r>
    </w:p>
    <w:p>
      <w:r>
        <w:t>FR: TF 6B_1277/2021 du 9 mars 2023</w:t>
      </w:r>
    </w:p>
    <w:p>
      <w:r>
        <w:t>IT: TF 6B_1277/2021 del 9 marzo 2023</w:t>
      </w:r>
    </w:p>
    <w:p>
      <w:pPr>
        <w:pStyle w:val="Heading2"/>
      </w:pPr>
      <w:r>
        <w:t>Erwägungen</w:t>
      </w:r>
    </w:p>
    <w:p>
      <w:r>
        <w:rPr>
          <w:b/>
        </w:rPr>
        <w:t>E. 1</w:t>
      </w:r>
    </w:p>
    <w:p>
      <w:r>
        <w:t>Le Tribunal fédéral examine librement la recevabilité des recours qui lui sont soumis ( ATF 143 IV 357 consid. 1; 141 III 395 consid. 2.1).</w:t>
      </w:r>
    </w:p>
    <w:p>
      <w:r>
        <w:rPr>
          <w:b/>
        </w:rPr>
        <w:t>E. 1.1</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Le Tribunal fédéral n'examine les moyens qui relèvent de la violation de droits fondamentaux, que s'ils sont invoqués et motivés par le recourant ( art. 106 al. 2 LTF ), c'est-à-dire s'ils ont été expressément soulevés et exposés de manière claire et détaillée (cf. ATF 147 I 73 consid. 2.1). Étant rappelé que le Tribunal fédéral statue sur la base des faits établis par l'autorité précédente ( art. 105 al. 1 LTF ), à moins qu'ils l'aient été en violation du droit ou de manière manifestement inexacte au sens des art. 97 al. 1 et 105 al. 2 LTF, soit pour l'essentiel de façon arbitraire au sens de l' art. 9 Cst. ( ATF 145 IV 154 consid. 1.1), les critiques de nature appellatoire sont irrecevables ( ATF 145 IV 154 consid. 1.1).</w:t>
      </w:r>
    </w:p>
    <w:p>
      <w:r>
        <w:rPr>
          <w:b/>
        </w:rPr>
        <w:t>E. 1.2</w:t>
      </w:r>
    </w:p>
    <w:p>
      <w:r>
        <w:t>La cour cantonale a rejeté le recours dans la mesure où il était recevable. Elle a, tout d'abord, rejeté les moyens développés par la recourante au sujet de la compétence territoriale de l'Office du ministère public du Bas-Valais ainsi que de la récusation de la procureure en charge du dossier. Elle a, ensuite, considéré comme irrecevables les développements par lesquels la recourante entendait déposer de nouvelles plaintes ainsi que ceux, jugés confus, dirigés contre l'ordonnance de refus d'entrer en matière. A titre subsidiaire, elle a retenu que supposés recevables, ces derniers moyens devaient, de toute manière être rejetés.</w:t>
      </w:r>
    </w:p>
    <w:p>
      <w:r>
        <w:rPr>
          <w:b/>
        </w:rPr>
        <w:t>E. 1.3</w:t>
      </w:r>
    </w:p>
    <w:p>
      <w:r>
        <w:t>La recourante ne discute d'aucune manière la question de l'irrecevabilité de nouvelles plaintes formulées devant la cour cantonale. Il n'y a pas lieu de s'y arrêter.</w:t>
      </w:r>
    </w:p>
    <w:p>
      <w:r>
        <w:rPr>
          <w:b/>
        </w:rPr>
        <w:t>E. 1.4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(arrêts 6B_810/2019 du 22 juillet 2019 consid. 1.1; 6B_581/2019 du 17 juin 2019 consid. 2.1).</w:t>
      </w:r>
    </w:p>
    <w:p>
      <w:r>
        <w:t>En l'espèce, la recourante articule des prétentions à concurrence d'un total de 16'000 fr. contre C.________. Elle qualifie cette somme comme une réparation de son tort moral, respectivement du préjudice pour sa santé qui auraient résulté de la tentative de contrainte et d'escroquerie qu'elle reproche au précité. Il convient, à cet égard, de relever que la recourante n'allègue pas expressément et n'offre pas de prouver un dommage économique qui aurait résulté de l'atteinte à la santé et n'offre pas non plus de preuve sur ce point précis. Cela étant, il suffit de rappeler que selon la jurisprudence,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6B_1047/2019 du 15 janvier 2020 consid. 2.1; 6B_673/2019 du 31 octobre 2019 consid. 1.1; 6B_1043/2019 du 26 septembre 2019 consid. 2.2; 6B_637/2019 du 8 août 2019 consid. 1.2). Or, la recourante n'allègue rien de tel et la nature essentiellement commerciale de l'affaire ne plaide manifestement pas en faveur de l'existence d'une telle atteinte et moins encore d'une gravité objective et subjective atteignant le seuil évoqué ci-dessus. On ne perçoit pas non plus quel dommage économique aurait pu résulter des simples tentatives d'infractions objet de la plainte. Il s'ensuit que la recourante ne démontre pas à satisfaction de droit avoir qualité pour recourir en matière pénale sur le fond.</w:t>
      </w:r>
    </w:p>
    <w:p>
      <w:r>
        <w:rPr>
          <w:b/>
        </w:rPr>
        <w:t>E. 2</w:t>
      </w:r>
    </w:p>
    <w:p>
      <w:r>
        <w:t>La recourante conteste également la compétence de l'Office régional du ministère public du Bas-Valais pour statuer sur la plainte du 9 avril 2021. Selon elle, c'est en Valais central que se serait situé le for de l'action pénale.</w:t>
      </w:r>
    </w:p>
    <w:p>
      <w:r>
        <w:rPr>
          <w:b/>
        </w:rPr>
        <w:t>E. 2.1</w:t>
      </w:r>
    </w:p>
    <w:p>
      <w:r>
        <w:t>A supposer qu'un tel moyen puisse être appréhendé comme distinct des questions de fond (alors qu'il s'agit de déterminer le lieu où l'auteur agi), il est douteux que la seule incompétence</w:t>
      </w:r>
    </w:p>
    <w:p>
      <w:r>
        <w:t>ratione loci , au plan intracantonal, d'une autorité par ailleurs, manifestement compétente</w:t>
      </w:r>
    </w:p>
    <w:p>
      <w:r>
        <w:t>ratione materiae , puisse être appréhendée comme un vice équivalant à un déni de justice de formel. La qualité pour recourir sur ce point est donc pour le moins sujette à caution (cf. ATF 141 IV 1 consid. 1.1 p. 5; 136 IV 29 consid. 1.9 p. 40 et les références citées). Ce point souffre toutefois, lui aussi, de demeurer indécis pour les motifs qui suivent.</w:t>
      </w:r>
    </w:p>
    <w:p>
      <w:r>
        <w:rPr>
          <w:b/>
        </w:rPr>
        <w:t>E. 2.2</w:t>
      </w:r>
    </w:p>
    <w:p>
      <w:r>
        <w:t>Conformément à l' art. 31 al. 1 et 2 CPP , l'autorité du lieu où l'acte a été commis est compétente pour la poursuite et le jugement de l'infraction. Si le lieu où le résultat s'est produit est seul situé en Suisse, l'autorité compétente est celle de ce lieu (al. 1). Si l'infraction a été commise ou si son résultat s'est produit en différents lieux, l'autorité compétente est celle du lieu où les premiers actes de poursuite ont été entrepris (al. 2). Cette disposition, de même que les autres règles de for prévues par les art. 32 à 37 CPP, ne sont toutefois pas absolues. Elles n'empêchent, par exemple, pas les ministères publics de convenir d'un autre for que celui prévu aux art. 31 à 37, lorsque la part prépondérante de l'activité délictueuse, la situation personnelle du prévenu ou d'autres motifs pertinents l'exigent ( art. 38 al. 1 CPP ). Par ailleurs, cette question de compétence doit être tranchée au regard de la situation factuelle telle qu'elle apparaît au moment où deux autorités conviennent d'un for, respectivement au moment de l'audience tenue par l'autorité dont la compétence est contestée ou encore au moment de la décision de l'instance de recours (URS BARTETZKO</w:t>
      </w:r>
    </w:p>
    <w:p>
      <w:r>
        <w:t>in Basler Kommentar, StPO, 2e éd. 2014, no 6</w:t>
      </w:r>
    </w:p>
    <w:p>
      <w:r>
        <w:t>ad</w:t>
      </w:r>
    </w:p>
    <w:p>
      <w:r>
        <w:t>art. 31 CPP ).</w:t>
      </w:r>
    </w:p>
    <w:p>
      <w:r>
        <w:rPr>
          <w:b/>
        </w:rPr>
        <w:t>E. 2.3</w:t>
      </w:r>
    </w:p>
    <w:p>
      <w:r>
        <w:t>En l'espèce, la question ne porte, tout d'abord, que sur la fixation du for intracantonal, entre deux régions francophones d'un même canton. Elle ne se pose, par ailleurs, qu'au stade très précoce du refus d'entrer en matière sur une dénonciation, respectivement une plainte pénale, de sorte que l'enjeu apparaît d'emblée singulièrement restreint. Cela étant précisé, la cour cantonale a relevé que la société de courtage avait son siège à U.________, que la plainte pénale visait son directeur en sa qualité d'organe pour de prétendus actes illicites qui auraient été commis au sein de cette société, notamment pour de faux renseignements qui auraient été fournis par cette personne ou un employé, ce qui suffisait à fonder la compétence du Ministère public du Bas-Valais.</w:t>
      </w:r>
    </w:p>
    <w:p>
      <w:r>
        <w:rPr>
          <w:b/>
        </w:rPr>
        <w:t>E. 2.3.1</w:t>
      </w:r>
    </w:p>
    <w:p>
      <w:r>
        <w:t>La recourante objecte que l'infraction aurait été commise à W.________ par la remise entre ses mains d'un mandat de courtage préparé puis rempli à V.________, ce qu'elle offre de prouver par des témoignages, l'interrogatoire du courtier, la production de la page 15 du mandat de courtage précédemment établi le 17 juillet 2020 et la réquisition de production de la page 15 du mandat de courtage du 1er octobre 2020. Ces faits ne ressortent toutefois pas de la décision cantonale et les preuves offertes apparaissent pour l'essentiel nouvelles, sans que la recourante formule de grief répondant aux exigences de l' art. 106 al. 2 LTF quant à l'établissement des faits ou tente d'exposer en quoi les faits et preuves nouveaux résulteraient de la décision de l'autorité précédente au sens de l' art. 99 al. 1 LTF . Le moyen n'apparaît donc pas recevable sous cet angle simplement formel.</w:t>
      </w:r>
    </w:p>
    <w:p>
      <w:r>
        <w:rPr>
          <w:b/>
        </w:rPr>
        <w:t>E. 2.3.2</w:t>
      </w:r>
    </w:p>
    <w:p>
      <w:r>
        <w:t>Quoi qu'il en soit, il est, de toute manière, patent que les prestations que la recourante allègue trompeuses, qui sont présentées sous forme d'une liste comparant, au moyen d'étoiles, celles de la société et celles de la concurrence, constituent une part du document contractuel pré-imprimée, si bien qu'il n'y avait rien d'insoutenable à considérer, à ce stade, qu'une part de l'activité dénoncée comme relevant de l' art. 146 CP avait pu se dérouler au siège de la société et il en va de toute évidence de même du courrier par lequel la société a réclamé la commission de courtage que la recourante semble appréhender comme relevant de l' art. 181 CP . Il s'ensuit qu'à supposer que la recourante ait qualité pour recourir sur ce point et que le grief ait été motivé à satisfaction de droit, qu'il n'en devrait pas moins être écarté.</w:t>
      </w:r>
    </w:p>
    <w:p>
      <w:r>
        <w:rPr>
          <w:b/>
        </w:rPr>
        <w:t>E. 3</w:t>
      </w:r>
    </w:p>
    <w:p>
      <w:r>
        <w:t>Pour le surplus, la recourante reproche encore à la cour cantonale d'avoir écarté le grief relatif à la récusation de la procureure en charge du dossier.</w:t>
      </w:r>
    </w:p>
    <w:p>
      <w:r>
        <w:t>Dans la mesure où la recourante se borne, pour l'essentiel, à soutenir que cette procureure aurait méconnu les règles de for et à affirmer qu'elle se serait saisie du dossier en cause illégalement "vraisemblablement par xénophobie", il suffit de renvoyer à ce qui vient d'être exposé en soulignant que le moyen n'est, pour le surplus, manifestement pas motivé à satisfaction de droit.</w:t>
      </w:r>
    </w:p>
    <w:p>
      <w:r>
        <w:rPr>
          <w:b/>
        </w:rPr>
        <w:t>E. 4</w:t>
      </w:r>
    </w:p>
    <w:p>
      <w:r>
        <w:t>Enfin, on ne discerne dans les écritures de recours l'invocation d'aucun moyen susceptible de relever d'une violation du droit à la plainte au sens de l'art. 81 al. 1 let. a et b ch. 6 LTF.</w:t>
      </w:r>
    </w:p>
    <w:p>
      <w:r>
        <w:rPr>
          <w:b/>
        </w:rPr>
        <w:t>E. 5</w:t>
      </w:r>
    </w:p>
    <w:p>
      <w:r>
        <w:t>Il résulte de ce qui précède que le recours doit être rejeté dans la mesure où il est recevable. Les conclusions du recours étaient dénuées de chances de succès, ce qui conduit au refus de l'assistance judiciaire ( art. 64 al. 1 LTF ). La recourante succombe. Elle supporte les frais de la procédure qui seront fixés en tenant compte de sa situation (art. 65 al 2 et 66 al. 1 LTF). Les réquisitions de preuves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