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1276/2020 vom 6. April 2021</w:t>
      </w:r>
    </w:p>
    <w:p>
      <w:r>
        <w:t>Bundesgericht, 2021-04-06, DE</w:t>
      </w:r>
    </w:p>
    <w:p>
      <w:r>
        <w:rPr>
          <w:b/>
        </w:rPr>
        <w:t xml:space="preserve">Quelle: </w:t>
      </w:r>
      <w:r>
        <w:t>https://mcp.opencaselaw.ch/entscheid/bger_6B_1276_2020</w:t>
      </w:r>
    </w:p>
    <w:p>
      <w:r>
        <w:t>FR: TF 6B 1276/2020 du 6 avril 2021</w:t>
      </w:r>
    </w:p>
    <w:p>
      <w:r>
        <w:t>IT: TF 6B 1276/2020 del 6 aprile 2021</w:t>
      </w:r>
    </w:p>
    <w:p>
      <w:pPr>
        <w:pStyle w:val="Heading2"/>
      </w:pPr>
      <w:r>
        <w:t>Regeste</w:t>
      </w:r>
    </w:p>
    <w:p>
      <w:r>
        <w:t>Nichtanhandnahme (Tätlichkeiten)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d.h. solche, die ihren Grund im Zivilrecht haben und deshalb eigentlich vor den Zivilgerichten durchgesetzt werden müssen, in erster Linie Ansprüche auf Schadenersatz oder Genugtuung nach Art. 41 ff. OR .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Fehlt es daran, tritt es auf die Beschwerde nicht ein ( BGE 141 IV 1 E. 1.1; 137 IV 246 E. 1.3.1, 219 E. 2.4; Urteil 6B_1053/2020 vom 19. November 2020 E. 1.1; je mit Hinweisen). Wird der Zivilanspruch mit einer Persönlichkeitsverletzung begründet, so ist in der Beschwerde darzutun, inwiefern sie objektiv und subjektiv schwer wiegt (vgl. Art. 49 Abs. 1 OR ). Genugtuungsansprüche aus Persönlichkeitsverletzung entstehen nur, wenn der Eingriff aussergewöhnlich schwer ist und in seinen Auswirkungen "das Mass einer Aufregung oder einer alltäglichen Sorge klar übersteigt" (Urteil 6B_582/2020 vom 17. Dezember 2020 E. 1 mit Hinweisen).</w:t>
      </w:r>
    </w:p>
    <w:p>
      <w:r>
        <w:rPr>
          <w:b/>
        </w:rPr>
        <w:t>E. 1.2</w:t>
      </w:r>
    </w:p>
    <w:p>
      <w:r>
        <w:t>Der Beschwerdeführer beansprucht eine Genugtuung aufgrund des dem Beschwerdegegner vorgeworfenen Verhaltens. Dieser soll ihn von der Türe der Liegenschaft an der Bahnhofstrasse in Zürich weggeschoben, ihn am Unterarm gegriffen und mit Stössen gegen die Brust weggedrückt haben. Ebenfalls habe ihn der Beschwerdegegner mehrmals gestossen und "angegriffen", ihn daran gehindert, seinen Zugangsbadge aus der Jackentasche zu nehmen und ihm schliesslich einen gezielten Schlag mit offenen Händen gegen die Brust versetzt sowie den Finger an der rechten Hand verletzt. Die vom Beschwerdeführer dargestellten Beeinträchtigungen aufgrund des inkriminierten Verhaltens des Beschwerdegegners erreichen die von der Praxis geforderte Schwere für die Ausrichtung einer Genugtuung offensichtlich nicht. Der Beschwerdeführer behauptet zudem nicht und es ist nicht ersichtlich, dass ihm ein Schaden entstanden wäre, etwa in Form von Kosten einer ärztlichen Behandlung. Soweit er geltend macht, im Falle einer Nichtanhandnahme gestalte sich die Aussicht auf eine Genugtuung in einem allfälligen Zivilprozess als gering, ist der Beschwerdeführer darauf hinzuweisen, dass es nicht Aufgabe der Strafbehörden ist, ihm insoweit die Mühen und das Kostenrisiko der Sammlung von Beweisen abzunehmen. Das Strafverfahren darf nicht als blosses Vehikel zur Durchsetzung allfälliger zivilrechtlicher Ansprüche missbraucht werden (vgl. BGE 137 IV 246 E. 1.3.1; Urteil 6B_1053/2020 vom 19. November 2020 E. 1.2 mit Hinweis). Schliesslich erhebt der Beschwerdeführer keine formellen Rügen, zu deren Vorbringen er unbesehen der fehlenden Legitimation in der Sache befugt wäre (sog. "Star-Praxis"; vgl. BGE 141 V 1 E. 1.1 mit Hinweisen). Dies gilt insbesondere für die Rüge der Verletzung von Art. 6 Ziff. 1 EMRK , welche der Beschwerdeführer darin erblickt, dass die Vorinstanz keinerlei Untersuchungshandlungen vorgenommen und erwogen habe, allfällige Abklärungen würden in einem Leerlauf enden. Ferner habe sich die Vorinstanz geweigert, entscheidrelevante Beweismittel zu erheben und vollständige Akten anzulegen. Bei beiden Fragen handelt es sich indes um solche der antizipierten Beweiswürdigung, welche nicht von der Beurteilung in der Sache selbst getrennt werden können und die daher unzulässig sind. Auf die Beschwerde ist nicht einzutreten.</w:t>
      </w:r>
    </w:p>
    <w:p>
      <w:r>
        <w:rPr>
          <w:b/>
        </w:rPr>
        <w:t>E. 2</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