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1275/2019 vom 12. Februar 2020</w:t>
      </w:r>
    </w:p>
    <w:p>
      <w:r>
        <w:t>Bundesgericht, 2020-02-12, FR</w:t>
      </w:r>
    </w:p>
    <w:p>
      <w:r>
        <w:rPr>
          <w:b/>
        </w:rPr>
        <w:t xml:space="preserve">Quelle: </w:t>
      </w:r>
      <w:r>
        <w:t>https://mcp.opencaselaw.ch/entscheid/bger_6B_1275_2019</w:t>
      </w:r>
    </w:p>
    <w:p>
      <w:r>
        <w:t>FR: TF 6B 1275/2019 du 12 février 2020</w:t>
      </w:r>
    </w:p>
    <w:p>
      <w:r>
        <w:t>IT: TF 6B 1275/2019 del 12 febbraio 2020</w:t>
      </w:r>
    </w:p>
    <w:p>
      <w:pPr>
        <w:pStyle w:val="Heading2"/>
      </w:pPr>
      <w:r>
        <w:t>Regeste</w:t>
      </w:r>
    </w:p>
    <w:p>
      <w:r>
        <w:t>Ordonnance de non-entrée en matière (violation de la Loi fédérale sur le droit d'auteur et les droits voisins) | Procédure pénale</w:t>
      </w:r>
    </w:p>
    <w:p>
      <w:pPr>
        <w:pStyle w:val="Heading2"/>
      </w:pPr>
      <w:r>
        <w:t>Erwägungen</w:t>
      </w:r>
    </w:p>
    <w:p>
      <w:r>
        <w:rPr>
          <w:b/>
        </w:rPr>
        <w:t>E. 1</w:t>
      </w:r>
    </w:p>
    <w:p>
      <w:r>
        <w:t>L'arrêt attaqué se fonde sur une double motivation. La cour cantonale a considéré, d'une part, que la plainte pénale déposée par la recourante était tardive et, d'autre part, que les instances civiles avaient autorisé à titre provisionnel les travaux de substitution et que, partant, les autres copropriétaires n'avaient pas agi sans droit au sens de l' art. 67 LDA . Dans la mesure où la recourante conteste la tardiveté de la plainte, le recours est recevable au regard de l'art. 81 al. 1 let. b ch. 6 LTF. Pour le surplus, la question de la qualité pour recourir de la recourante selon l'art. 81 al. 1 let. b ch. 5 LTF pour contester le fond du litige peut rester indécise, puisque de toute façon le recours doit être rejeté.</w:t>
      </w:r>
    </w:p>
    <w:p>
      <w:r>
        <w:rPr>
          <w:b/>
        </w:rPr>
        <w:t>E. 2</w:t>
      </w:r>
    </w:p>
    <w:p>
      <w:r>
        <w:t>La recourante conteste que sa plainte pénale ait été déposée tardivement.</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Les conditions à l'ouverture de l'action pénale sont notamment l'existence d'une plainte pénale pour les infractions poursuivies sur plainte ( ATF 136 III 502 consid. 6.3.2 p. 507; 128 IV 81 consid. 2a p. 83).</w:t>
      </w:r>
    </w:p>
    <w:p>
      <w:r>
        <w:rPr>
          <w:b/>
        </w:rPr>
        <w:t>E. 2.2</w:t>
      </w:r>
    </w:p>
    <w:p>
      <w:r>
        <w:t>Selon l' art. 67 al. 1 let . c LDA, est puni, sur plainte du lésé, d'une peine privative de liberté d'un an au plus ou d'une peine pécuniaire quiconque, intentionnellement et sans droit, modifie une oeuvre. Le délit défini à l' art. 67 LDA est donc poursuivi sur plainte. La plainte pénale au sens des art. 30 ss CP est une déclaration de volonté inconditionnelle par laquelle le lésé demande l'introduction d'une poursuite pénale ( ATF 128 IV 81 consid. 2a p. 83). L'art. 31, 1ère phrase, CP, prévoit que le droit de porter plainte se prescrit par trois mois. Le délai court du jour où l'ayant droit a eu connaissance de l'auteur de l'infraction (art. 31, 2ème phrase, CP), mais aussi de l'infraction elle-même (arrêt 6B_145/2010 du 11 mai consid. 1.3; ATF 126 IV 131 consid. 2 p. 132). En présence d'une pluralité d'infractions, la détermination du début du délai de plainte s'opère par analogie avec la fixation du point de départ de la prescription. Dans l'arrêt publié aux ATF 131 IV 83 , le Tribunal fédéral a abandonné la figure de l'unité sous l'angle de la prescription - et donc par analogie de la plainte pénale -, ce délai devant dorénavant être calculé pour chaque infraction de manière séparée. Il a toutefois admis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98 let. b et c CP; ATF 131 IV 83 consid. 2.4. p. 90 ss). L'unité juridique d'actions existe lorsque le comportement défini par la norme présuppose, par définition, de fait ou typiquement,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131 IV 83 consid. 2.4.5 p. 93 s.; 132 IV 49 consid. 3.1.1.3 p. 54).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131 IV 83 consid. 2.4.5 p. 94; 132 IV 49 consid. 3.1.1.3 p. 54; arrêt 6B_911/2017 du 27 avril 2018 consid. 4.2.2). La notion d'unité naturelle d'actions doit être interprétée restrictivement afin de ne pas réintroduire sous une autre forme la figure du délit successif ou celle de l'unité du point de vue de la prescription ( ATF 133 IV 256 consid. 4.5.3 p. 266; arrêt 6B_310/2014 du 23 novembre 2015 consid. 4.2, publié in SJ 2016 I 414). Il s'agit d'une question de droit (TRECHSEL/PIETH, Schweizerisches Strafgestzbuch, Praxiskommentar, 3e éd., 2018, n° 3 ad art. 49 CP ).</w:t>
      </w:r>
    </w:p>
    <w:p>
      <w:r>
        <w:rPr>
          <w:b/>
        </w:rPr>
        <w:t>E. 2.3.1</w:t>
      </w:r>
    </w:p>
    <w:p>
      <w:r>
        <w:t>Le comportement - qui est défini par l' art. 67 LDA - ne présuppose pas l'accomplissement d'actes séparés ni un comportement durable, de sorte que l'on ne saurait retenir une unité juridique d'actions (cf. arrêt 6S.397/2005 du 13 novembre 2005 consid 2.3.1, publié in SJ 2006 I 85). Les travaux de substitution ordonnés par les copropriétaires ne constituent pas non plus une unité d'action dite naturelle. Les travaux litigieux ont certes été effectués sur le même bien immobilier. Ils concernaient toutefois des parties communes différentes et ont été réalisés à des moments différents sur plus d'une année. Ils ne procédaient pas d'une décision unique, puisque les copropriétaires ont dû prendre contact avec diverses entreprises pour procéder à l'exécution par substitution. C'est donc à juste titre que la cour cantonale a nié toute unité juridique ou naturelle d'actions et considéré qu'il s'agissait d'actes séparés et ponctuels, pour lesquels le délai pour porter plainte court séparément.</w:t>
      </w:r>
    </w:p>
    <w:p>
      <w:r>
        <w:rPr>
          <w:b/>
        </w:rPr>
        <w:t>E. 2.3.2</w:t>
      </w:r>
    </w:p>
    <w:p>
      <w:r>
        <w:t>Il s'ensuit que la cour cantonale n'a pas violé le droit fédéral en considérant que la plainte pénale, déposée le 11 février 2019, était tardive, puisque les travaux de substitution ont débuté, pour une première partie, en automne 2017 à tout le moins et, pour la seconde phase, dès janvier 2018. Lorsque la recourante fait valoir que la plainte ne saurait être considérée, dans tous les cas, comme tardive en ce qui concerne les derniers travaux entrepris, son grief est irrecevable. En effet, elle ne donne aucune précision sur la date de ces travaux et sur leur nature, de sorte que son argumentation ne satisfait pas aux exigences de motivation posées à l' art. 42 la . 2 LTF.</w:t>
      </w:r>
    </w:p>
    <w:p>
      <w:r>
        <w:rPr>
          <w:b/>
        </w:rPr>
        <w:t>E. 2.4</w:t>
      </w:r>
    </w:p>
    <w:p>
      <w:r>
        <w:t>La plainte étant tardive, les conditions de l'ouverture de l'action pénale ne sont manifestement pas réunies. C'est donc à juste titre que la cour cantonale a confirmé l'ordonnance de non-entrée en matière ( art. 310 al. 1 let. a CPP ). Le recours doit ainsi être rejeté, dans la mesure de sa recevabilité, sans qu'il soit nécessaire d'examiner si les copropriétaires ont agi sans droit au sens de l' art. 67 LDA .</w:t>
      </w:r>
    </w:p>
    <w:p>
      <w:r>
        <w:rPr>
          <w:b/>
        </w:rPr>
        <w:t>E. 3</w:t>
      </w:r>
    </w:p>
    <w:p>
      <w:r>
        <w:t>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