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1274/2016 vom 11. September 2017</w:t>
      </w:r>
    </w:p>
    <w:p>
      <w:r>
        <w:t>Bundesgericht, 2017-09-11, FR</w:t>
      </w:r>
    </w:p>
    <w:p>
      <w:r>
        <w:rPr>
          <w:b/>
        </w:rPr>
        <w:t xml:space="preserve">Quelle: </w:t>
      </w:r>
      <w:r>
        <w:t>https://mcp.opencaselaw.ch/entscheid/bger_6B_1274_2016</w:t>
      </w:r>
    </w:p>
    <w:p>
      <w:r>
        <w:t>FR: TF 6B 1274/2016 du 11 septembre 2017</w:t>
      </w:r>
    </w:p>
    <w:p>
      <w:r>
        <w:t>IT: TF 6B 1274/2016 del 11 settembre 2017</w:t>
      </w:r>
    </w:p>
    <w:p>
      <w:pPr>
        <w:pStyle w:val="Heading2"/>
      </w:pPr>
      <w:r>
        <w:t>Regeste</w:t>
      </w:r>
    </w:p>
    <w:p>
      <w:r>
        <w:t>Vol par métier, blanchiment d'argent, infraction à la LEtr; arbitraire, in dubio pro reo | Infractions</w:t>
      </w:r>
    </w:p>
    <w:p>
      <w:pPr>
        <w:pStyle w:val="Heading2"/>
      </w:pPr>
      <w:r>
        <w:t>Erwägungen</w:t>
      </w:r>
    </w:p>
    <w:p>
      <w:r>
        <w:rPr>
          <w:b/>
        </w:rPr>
        <w:t>E. 1</w:t>
      </w:r>
    </w:p>
    <w:p>
      <w:r>
        <w:t>Le recourant considère que la juridiction cantonale a procédé à une appréciation arbitraire des preuves s'agissant des opérations de caisse et qu'elle a violé le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141 IV 369 consid. 6.3 p. 375). 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«in dubio pro reo», celui-ci n'a pas de portée plus large que l'interdiction de l'arbitraire ( ATF 138 IV 74 consid. 7 p. 82).</w:t>
      </w:r>
    </w:p>
    <w:p>
      <w:r>
        <w:rPr>
          <w:b/>
        </w:rPr>
        <w:t>E. 1.2</w:t>
      </w:r>
    </w:p>
    <w:p>
      <w:r>
        <w:t>Le recourant soutient que d'autres employés ont également été licenciés pour vol et qu'il ne peut être tenu pour seul responsable des pertes. Il indique également que les images captées par la caméra de surveillance ne permettent pas d'identifier clairement ses gestes et qu'il n'a pas été possible de définir exactement le procédé utilisé lors de chaque annulation de transaction. La juridiction cantonale a indiqué que l'enquête pour blanchiment d'argent a débuté à la suite de soupçons émis par l'intermédiaire financier, qui gérait les comptes du recourant et qui a trouvé suspect le nombre de versements effectués. Dans le cadre de l'enquête alors diligentée contre lui, il est apparu que les explications du recourant au sujet de prétendus remboursements à son beau-frère ainsi que de prétendus prêts octroyés à des tiers n'avaient aucune consistance. L'enquête a permis par la suite de découvrir que le recourant avait été licencié et que l'origine des fonds coïncidait avec les pertes subies par l'employeur. L'autorité précédente a souligné que toutes les annulations constatées n'avaient pas été imputées au recourant mais que l'ampleur des annulations n'était pas compatible avec une activité normale de caissier. Or, ces annulations étaient significativement plus importantes les jours de travail du recourant. La cour cantonale a relevé qu'il existe une concordance temporelle frappante entre les périodes d'activité du recourant, le nombre d'annulations et leur montant ainsi que les versements opérés sur le compte du recourant. Elle a également indiqué qu'il était le seul employé a avoir été filmé alors qu'il procédait de façon frénétique à des annulations dans un court laps de temps. Dès lors, déterminer exactement de quelle façon le recourant a procédé aux annulations de caisse est sans incidence sur la réalisation des éléments constitutifs de l'infraction. En indiquant que la caméra ne permet pas d'identifier clairement ses gestes, le recourant se borne à relater sa propre version du litige au terme d'une démarche appellatoire qui ne remplit pas les exigences de motivation requises et qui se révèle irrecevable (cf. art. 106 al. 2 LTF ). Le fait que l'employeur aurait renoncé à porter plainte est sans pertinence pour l'établissement des faits, notamment au vu des nombreux éléments retenus par la cour cantonale. L'appréciation personnelle que livre le recourant à cet égard est irrecevable. Ainsi, la cour cantonale pouvait sans arbitraire, retenir que le recourant était l'auteur des opérations reprochées. Sur cette base, c'est sans violer le droit fédéral qu'elle l'a jugé coupable de vol par métier; partant l'argument du recourant selon lequel l'infraction de blanchiment n'est pas réalisée, parce que l'origine des fonds n'est pas criminelle, tombe à faux.</w:t>
      </w:r>
    </w:p>
    <w:p>
      <w:r>
        <w:rPr>
          <w:b/>
        </w:rPr>
        <w:t>E. 2</w:t>
      </w:r>
    </w:p>
    <w:p>
      <w:r>
        <w:t>Le recourant soutient également que la cour cantonale a violé l'art. 118 al. 1 LEtr.</w:t>
      </w:r>
    </w:p>
    <w:p>
      <w:r>
        <w:rPr>
          <w:b/>
        </w:rPr>
        <w:t>E. 2.1</w:t>
      </w:r>
    </w:p>
    <w:p>
      <w:r>
        <w:t>Selon l'art. 118 al. 1 LEtr,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 ATF 127 II 49 consid. 4a p. 55). Toute la difficulté réside dans la circonstance que l'intention réelle des époux ne peut souvent pas être établie par une preuve directe, mais seulement grâce à des indices ( ATF 127 II 49 consid. 5a p. 57; arrêt 2C_ 783/2015 du 6 janvier 2016 consid. 4.2). Constituent notamment des indices d'un mariage fictif ou d'un abus de droit les éléments suivants :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 ATF 128 II 145 consid. 3.1 p. 152; arrêt 2C_1055/2015 du 16 juin 2016 consid. 2.2). Les constatations portant sur les indices peuvent concerner des circonstances externes tout comme des éléments d'ordre psychique relevant de la volonté interne (volonté de chacun des époux). Il s'agit, dans les deux cas, de constatations de fait ( ATF 128 II 145 consid. 2.3 p. 152 et les arrêts cités) qui lient le Tribunal fédéral, sauf si elles ont été établies de façon manifestement inexacte ou en violation du droit au sens de l' art. 95 LTF . En revanche, le Tribunal fédéral examine librement si les constatations de fait (indices) permettent de conclure à l'existence d'un mariage fictif.</w:t>
      </w:r>
    </w:p>
    <w:p>
      <w:r>
        <w:rPr>
          <w:b/>
        </w:rPr>
        <w:t>E. 2.2</w:t>
      </w:r>
    </w:p>
    <w:p>
      <w:r>
        <w:t>En l'occurrence, le recourant soutient que B.________ ne l'avait pas présenté à sa famille parce qu'elle entretenait plus de liens avec ses amis qu'avec sa famille et que tous deux avaient un caractère individuel. Une telle argumentation - purement appellatoire, partant, irrecevable - accrédite au demeurant la thèse soutenue par l'autorité précédente. En effet, cette dernière, reprenant le jugement de première instance, a clairement indiqué qu'on ne pouvait conclure à un mariage fictif du seul fait que le recourant et B.________ ne vivaient pas ensemble, ne partaient pas en vacances ensemble ni qu'ils ont débuté la procédure de mariage deux jours après le refus du SPOP de renouveler l'autorisation de séjour. En revanche, elle a mis en évidence plusieurs autres éléments sur lesquels elle s'est fondée pour conclure qu'une communauté de vie n'avait jamais été voulue. En particulier, elle a souligné que le couple n'avait pas donné de détails sur une histoire commune, que personne ne connaissait l'existence de ce mariage mis à part de vagues connaissances ayant assisté à la cérémonie, que les époux n'avaient pas formé de communauté d'habitation, que le recourant avait payé à B.________ une somme de 25'000 fr. peu avant le mariage et qu'aucun effet personnel n'avait été trouvé à l'adresse de l'épouse, malgré une recherche effectuée dans les deux derniers domiciles de B.________ et dans celui du recourant. Ces constatations de fait, établies sans arbitraire, constituent des indices importants et convergents de l'existence d'un mariage fictif. Le recourant s'est limité, dans une critique de nature purement appellatoire, à opposer sa version des faits qui ne répond pas aux exigences de recevabilité.</w:t>
      </w:r>
    </w:p>
    <w:p>
      <w:r>
        <w:rPr>
          <w:b/>
        </w:rPr>
        <w:t>E. 3</w:t>
      </w:r>
    </w:p>
    <w:p>
      <w:r>
        <w:t>Le recours est rejeté dans la mesure où il est recevable. Les conclusions du recourant étant dénuées de chances de succès, la demande d'assistance judiciaire est rejetée ( art. 64 al. 1 LTF ). Le recourant supporte des frais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